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ConsPlusTitle"/>
        <w:widowControl/>
        <w:ind w:right="-5" w:hanging="0"/>
        <w:jc w:val="right"/>
        <w:rPr/>
      </w:pPr>
      <w:r>
        <w:rPr>
          <w:rFonts w:cs="Times New Roman" w:ascii="Times New Roman" w:hAnsi="Times New Roman"/>
          <w:sz w:val="24"/>
          <w:szCs w:val="24"/>
        </w:rPr>
        <w:t>ПРОЕКТ</w:t>
      </w:r>
    </w:p>
    <w:p>
      <w:pPr>
        <w:pStyle w:val="ConsPlusTitle"/>
        <w:widowControl/>
        <w:ind w:right="-5" w:hanging="0"/>
        <w:jc w:val="center"/>
        <w:rPr>
          <w:rFonts w:ascii="Times New Roman" w:hAnsi="Times New Roman" w:cs="Times New Roman"/>
          <w:sz w:val="24"/>
          <w:szCs w:val="24"/>
        </w:rPr>
      </w:pPr>
      <w:r>
        <w:rPr>
          <w:rFonts w:cs="Times New Roman" w:ascii="Times New Roman" w:hAnsi="Times New Roman"/>
          <w:sz w:val="24"/>
          <w:szCs w:val="24"/>
        </w:rPr>
      </w:r>
    </w:p>
    <w:p>
      <w:pPr>
        <w:pStyle w:val="ConsPlusTitle"/>
        <w:ind w:left="2832" w:right="-5" w:firstLine="708"/>
        <w:jc w:val="center"/>
        <w:rPr/>
      </w:pPr>
      <w:r>
        <w:rPr>
          <w:rFonts w:cs="Times New Roman" w:ascii="Times New Roman" w:hAnsi="Times New Roman"/>
          <w:sz w:val="24"/>
          <w:szCs w:val="24"/>
        </w:rPr>
        <w:t xml:space="preserve">                              </w:t>
      </w:r>
    </w:p>
    <w:p>
      <w:pPr>
        <w:pStyle w:val="Normal"/>
        <w:ind w:right="-5" w:hanging="0"/>
        <w:rPr/>
      </w:pPr>
      <w:r>
        <w:rPr/>
        <w:t xml:space="preserve">                                                                                                                                      </w:t>
      </w:r>
      <w:r>
        <w:rPr>
          <w:rFonts w:eastAsia="Arial" w:cs="Arial" w:ascii="Arial" w:hAnsi="Arial"/>
          <w:b/>
          <w:bCs/>
        </w:rPr>
        <w:t xml:space="preserve">                                                                                                                         </w:t>
      </w:r>
    </w:p>
    <w:p>
      <w:pPr>
        <w:pStyle w:val="Normal"/>
        <w:ind w:left="180" w:firstLine="540"/>
        <w:jc w:val="center"/>
        <w:rPr/>
      </w:pPr>
      <w:r>
        <w:rPr/>
        <w:t xml:space="preserve">                                              </w:t>
      </w:r>
    </w:p>
    <w:p>
      <w:pPr>
        <w:pStyle w:val="Normal"/>
        <w:ind w:left="180" w:firstLine="540"/>
        <w:jc w:val="center"/>
        <w:rPr/>
      </w:pPr>
      <w:r>
        <mc:AlternateContent>
          <mc:Choice Requires="wps">
            <w:drawing>
              <wp:anchor behindDoc="0" distT="0" distB="0" distL="114935" distR="114935" simplePos="0" locked="0" layoutInCell="1" allowOverlap="1" relativeHeight="10">
                <wp:simplePos x="0" y="0"/>
                <wp:positionH relativeFrom="column">
                  <wp:posOffset>-457200</wp:posOffset>
                </wp:positionH>
                <wp:positionV relativeFrom="paragraph">
                  <wp:posOffset>5080</wp:posOffset>
                </wp:positionV>
                <wp:extent cx="207645" cy="1132840"/>
                <wp:effectExtent l="13970" t="10795" r="7620" b="9525"/>
                <wp:wrapNone/>
                <wp:docPr id="1" name="Text Box 5"/>
                <a:graphic xmlns:a="http://schemas.openxmlformats.org/drawingml/2006/main">
                  <a:graphicData uri="http://schemas.microsoft.com/office/word/2010/wordprocessingShape">
                    <wps:wsp>
                      <wps:cNvSpPr/>
                      <wps:spPr>
                        <a:xfrm>
                          <a:off x="0" y="0"/>
                          <a:ext cx="207000" cy="1132200"/>
                        </a:xfrm>
                        <a:prstGeom prst="rect">
                          <a:avLst/>
                        </a:prstGeom>
                        <a:solidFill>
                          <a:srgbClr val="ffffff"/>
                        </a:solidFill>
                        <a:ln w="9360">
                          <a:solidFill>
                            <a:srgbClr val="ffffff"/>
                          </a:solidFill>
                          <a:miter/>
                        </a:ln>
                      </wps:spPr>
                      <wps:style>
                        <a:lnRef idx="0"/>
                        <a:fillRef idx="0"/>
                        <a:effectRef idx="0"/>
                        <a:fontRef idx="minor"/>
                      </wps:style>
                      <wps:txbx>
                        <w:txbxContent>
                          <w:p>
                            <w:pPr>
                              <w:pStyle w:val="Style27"/>
                              <w:rPr>
                                <w:color w:val="auto"/>
                              </w:rPr>
                            </w:pPr>
                            <w:r>
                              <w:rPr>
                                <w:color w:val="auto"/>
                              </w:rPr>
                              <w:t xml:space="preserve">       </w:t>
                            </w:r>
                          </w:p>
                        </w:txbxContent>
                      </wps:txbx>
                      <wps:bodyPr>
                        <a:noAutofit/>
                      </wps:bodyPr>
                    </wps:wsp>
                  </a:graphicData>
                </a:graphic>
              </wp:anchor>
            </w:drawing>
          </mc:Choice>
          <mc:Fallback>
            <w:pict>
              <v:rect id="shape_0" ID="Text Box 5" fillcolor="white" stroked="t" style="position:absolute;margin-left:-36pt;margin-top:0.4pt;width:16.25pt;height:89.1pt">
                <w10:wrap type="square"/>
                <v:fill o:detectmouseclick="t" type="solid" color2="black"/>
                <v:stroke color="white" weight="9360" joinstyle="miter" endcap="flat"/>
                <v:textbox>
                  <w:txbxContent>
                    <w:p>
                      <w:pPr>
                        <w:pStyle w:val="Style27"/>
                        <w:rPr>
                          <w:color w:val="auto"/>
                        </w:rPr>
                      </w:pPr>
                      <w:r>
                        <w:rPr>
                          <w:color w:val="auto"/>
                        </w:rPr>
                        <w:t xml:space="preserve">       </w:t>
                      </w:r>
                    </w:p>
                  </w:txbxContent>
                </v:textbox>
              </v:rect>
            </w:pict>
          </mc:Fallback>
        </mc:AlternateContent>
      </w:r>
      <w:r>
        <w:rPr>
          <w:b/>
          <w:sz w:val="28"/>
          <w:szCs w:val="28"/>
        </w:rPr>
        <w:t>ТШÖКТÖМ</w:t>
      </w:r>
    </w:p>
    <w:p>
      <w:pPr>
        <w:pStyle w:val="Normal"/>
        <w:ind w:left="180" w:firstLine="540"/>
        <w:jc w:val="center"/>
        <w:rPr/>
      </w:pPr>
      <w:r>
        <w:rPr>
          <w:b/>
          <w:bCs/>
          <w:sz w:val="28"/>
          <w:szCs w:val="28"/>
        </w:rPr>
        <w:t>РЕШЕНИЕ</w:t>
      </w:r>
    </w:p>
    <w:p>
      <w:pPr>
        <w:pStyle w:val="Normal"/>
        <w:ind w:left="180" w:firstLine="540"/>
        <w:jc w:val="center"/>
        <w:rPr>
          <w:b/>
          <w:b/>
          <w:bCs/>
        </w:rPr>
      </w:pPr>
      <w:r>
        <w:rPr>
          <w:b/>
          <w:bCs/>
        </w:rPr>
      </w:r>
    </w:p>
    <w:p>
      <w:pPr>
        <w:pStyle w:val="ConsPlusTitle"/>
        <w:widowControl/>
        <w:rPr>
          <w:b w:val="false"/>
          <w:b w:val="false"/>
          <w:bCs w:val="false"/>
          <w:sz w:val="28"/>
          <w:szCs w:val="28"/>
        </w:rPr>
      </w:pPr>
      <w:r>
        <w:rPr>
          <w:b w:val="false"/>
          <w:bCs w:val="false"/>
          <w:sz w:val="28"/>
          <w:szCs w:val="28"/>
        </w:rPr>
      </w:r>
    </w:p>
    <w:p>
      <w:pPr>
        <w:pStyle w:val="Normal"/>
        <w:jc w:val="both"/>
        <w:rPr>
          <w:rFonts w:ascii="Times New Roman" w:hAnsi="Times New Roman"/>
          <w:sz w:val="24"/>
          <w:szCs w:val="24"/>
        </w:rPr>
      </w:pPr>
      <w:r>
        <w:rPr>
          <w:rFonts w:ascii="Times New Roman" w:hAnsi="Times New Roman"/>
          <w:sz w:val="24"/>
          <w:szCs w:val="24"/>
        </w:rPr>
        <w:t>От «___» __________ 20__ г. № ___</w:t>
      </w:r>
    </w:p>
    <w:p>
      <w:pPr>
        <w:pStyle w:val="Normal"/>
        <w:jc w:val="both"/>
        <w:rPr>
          <w:rFonts w:ascii="Times New Roman" w:hAnsi="Times New Roman"/>
          <w:sz w:val="24"/>
          <w:szCs w:val="24"/>
        </w:rPr>
      </w:pPr>
      <w:r>
        <w:rPr>
          <w:rFonts w:ascii="Times New Roman" w:hAnsi="Times New Roman"/>
          <w:sz w:val="24"/>
          <w:szCs w:val="24"/>
        </w:rPr>
        <w:t>(Республика Коми, г. Вуктыл)</w:t>
      </w:r>
    </w:p>
    <w:p>
      <w:pPr>
        <w:pStyle w:val="ConsPlusTitle"/>
        <w:widowControl/>
        <w:rPr>
          <w:rFonts w:ascii="Times New Roman" w:hAnsi="Times New Roman"/>
          <w:sz w:val="24"/>
          <w:szCs w:val="24"/>
        </w:rPr>
      </w:pPr>
      <w:r>
        <w:rPr>
          <w:rFonts w:ascii="Times New Roman" w:hAnsi="Times New Roman"/>
          <w:sz w:val="24"/>
          <w:szCs w:val="24"/>
        </w:rPr>
      </w:r>
    </w:p>
    <w:p>
      <w:pPr>
        <w:pStyle w:val="ConsPlusTitle"/>
        <w:widowControl/>
        <w:ind w:right="-6" w:hanging="0"/>
        <w:jc w:val="both"/>
        <w:rPr>
          <w:rFonts w:ascii="Times New Roman" w:hAnsi="Times New Roman"/>
          <w:sz w:val="24"/>
          <w:szCs w:val="24"/>
        </w:rPr>
      </w:pPr>
      <w:r>
        <w:rPr>
          <w:rFonts w:cs="Times New Roman" w:ascii="Times New Roman" w:hAnsi="Times New Roman"/>
          <w:sz w:val="24"/>
          <w:szCs w:val="24"/>
        </w:rPr>
        <w:t>«О бюджете муниципального образования городского округа «Вуктыл» на 2020 год и плановый период 2021 и 2022 годов»</w:t>
      </w:r>
    </w:p>
    <w:p>
      <w:pPr>
        <w:pStyle w:val="ConsPlusTitle"/>
        <w:widowControl/>
        <w:ind w:right="-6" w:hanging="0"/>
        <w:rPr>
          <w:rFonts w:ascii="Times New Roman" w:hAnsi="Times New Roman" w:cs="Times New Roman"/>
          <w:sz w:val="24"/>
          <w:szCs w:val="24"/>
        </w:rPr>
      </w:pPr>
      <w:r>
        <w:rPr>
          <w:rFonts w:cs="Times New Roman" w:ascii="Times New Roman" w:hAnsi="Times New Roman"/>
          <w:sz w:val="24"/>
          <w:szCs w:val="24"/>
        </w:rPr>
      </w:r>
    </w:p>
    <w:p>
      <w:pPr>
        <w:pStyle w:val="ConsPlusNormal1"/>
        <w:widowControl/>
        <w:ind w:right="-5" w:firstLine="540"/>
        <w:jc w:val="both"/>
        <w:rPr>
          <w:rFonts w:ascii="Times New Roman" w:hAnsi="Times New Roman" w:cs="Times New Roman"/>
          <w:b/>
          <w:b/>
          <w:bCs/>
          <w:sz w:val="24"/>
          <w:szCs w:val="24"/>
        </w:rPr>
      </w:pPr>
      <w:r>
        <w:rPr>
          <w:rFonts w:cs="Times New Roman" w:ascii="Times New Roman" w:hAnsi="Times New Roman"/>
          <w:b/>
          <w:bCs/>
          <w:sz w:val="24"/>
          <w:szCs w:val="24"/>
        </w:rPr>
      </w:r>
    </w:p>
    <w:p>
      <w:pPr>
        <w:pStyle w:val="ConsPlusNormal1"/>
        <w:widowControl/>
        <w:ind w:right="-5" w:firstLine="540"/>
        <w:jc w:val="center"/>
        <w:rPr>
          <w:rFonts w:ascii="Times New Roman" w:hAnsi="Times New Roman"/>
          <w:sz w:val="24"/>
          <w:szCs w:val="24"/>
        </w:rPr>
      </w:pPr>
      <w:r>
        <w:rPr>
          <w:rFonts w:cs="Times New Roman" w:ascii="Times New Roman" w:hAnsi="Times New Roman"/>
          <w:b/>
          <w:bCs/>
          <w:sz w:val="24"/>
          <w:szCs w:val="24"/>
        </w:rPr>
        <w:t>Совет городского округа «Вуктыл» решил:</w:t>
      </w:r>
    </w:p>
    <w:p>
      <w:pPr>
        <w:pStyle w:val="ConsPlusNormal1"/>
        <w:widowControl/>
        <w:ind w:right="-5" w:firstLine="540"/>
        <w:jc w:val="both"/>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lineRule="auto" w:line="360"/>
        <w:ind w:firstLine="540"/>
        <w:jc w:val="both"/>
        <w:rPr>
          <w:rFonts w:ascii="Times New Roman" w:hAnsi="Times New Roman"/>
          <w:sz w:val="24"/>
          <w:szCs w:val="24"/>
        </w:rPr>
      </w:pPr>
      <w:r>
        <w:rPr>
          <w:rFonts w:ascii="Times New Roman" w:hAnsi="Times New Roman"/>
          <w:b/>
          <w:sz w:val="24"/>
          <w:szCs w:val="24"/>
        </w:rPr>
        <w:t>Статья 1</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1. Утвердить основные характеристики бюджета муниципального образования городского округа «Вуктыл» на 2020 год:</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общий объем доходов в сумме 670 611 121,08 рублей;</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общий объем расходов в сумме 682 414 117,08 рублей;</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дефицит в сумме 11 802 996,00 рублей.</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2. Утвердить основные характеристики бюджета муниципального образования городского округа «Вуктыл» на 2021 год и на 2022 год:</w:t>
      </w:r>
    </w:p>
    <w:p>
      <w:pPr>
        <w:pStyle w:val="ConsPlusNormal1"/>
        <w:spacing w:lineRule="auto" w:line="360"/>
        <w:ind w:firstLine="540"/>
        <w:jc w:val="both"/>
        <w:rPr>
          <w:rFonts w:ascii="Times New Roman" w:hAnsi="Times New Roman"/>
          <w:sz w:val="24"/>
          <w:szCs w:val="24"/>
        </w:rPr>
      </w:pPr>
      <w:r>
        <w:rPr>
          <w:rFonts w:cs="Times New Roman" w:ascii="Times New Roman" w:hAnsi="Times New Roman"/>
          <w:sz w:val="24"/>
          <w:szCs w:val="24"/>
        </w:rPr>
        <w:t>общий объем доходов на 2021 год в сумме 603 101 401,09 рублей и на 2022 год в сумме 616 218 066,78 рублей;</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общий объем расходов на 2021 год в сумме 603 601 401,09 рублей и на 2022 год в сумме 616 368 066,78 рублей;</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дефицит на 2021 год в сумме 500 000,00 рублей и на 2022 год в сумме 150 000,00 рублей.</w:t>
      </w:r>
    </w:p>
    <w:p>
      <w:pPr>
        <w:pStyle w:val="Normal"/>
        <w:spacing w:lineRule="auto" w:line="360"/>
        <w:ind w:firstLine="540"/>
        <w:jc w:val="both"/>
        <w:rPr>
          <w:rFonts w:ascii="Times New Roman" w:hAnsi="Times New Roman"/>
          <w:sz w:val="24"/>
          <w:szCs w:val="24"/>
        </w:rPr>
      </w:pPr>
      <w:r>
        <w:rPr>
          <w:rFonts w:ascii="Times New Roman" w:hAnsi="Times New Roman"/>
          <w:sz w:val="24"/>
          <w:szCs w:val="24"/>
        </w:rPr>
        <w:t>3. Утвердить общий объем условно утвержденных расходов на 2021 год в сумме       6 780 000,00 рублей и на 2022 год в сумме 13 950 000,00 рублей.</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Статья 2</w:t>
      </w:r>
    </w:p>
    <w:p>
      <w:pPr>
        <w:pStyle w:val="ConsPlusNormal1"/>
        <w:tabs>
          <w:tab w:val="left" w:pos="795" w:leader="none"/>
        </w:tabs>
        <w:spacing w:lineRule="auto" w:line="360"/>
        <w:ind w:firstLine="567"/>
        <w:jc w:val="both"/>
        <w:rPr>
          <w:rFonts w:ascii="Times New Roman" w:hAnsi="Times New Roman"/>
          <w:sz w:val="24"/>
          <w:szCs w:val="24"/>
        </w:rPr>
      </w:pPr>
      <w:r>
        <w:rPr>
          <w:rFonts w:cs="Times New Roman" w:ascii="Times New Roman" w:hAnsi="Times New Roman"/>
          <w:sz w:val="24"/>
          <w:szCs w:val="24"/>
        </w:rPr>
        <w:t>Утвердить общий объем бюджетных ассигнований, направляемых на исполнение публичных нормативных обязательств городского округа «Вуктыл» на 2020 год в сумме 0,00 рублей, на 2021 год в сумме 0,00  рублей и на 2022 год в сумме 0,00 рублей.</w:t>
      </w:r>
    </w:p>
    <w:p>
      <w:pPr>
        <w:pStyle w:val="ConsPlusNormal1"/>
        <w:spacing w:lineRule="auto" w:line="360"/>
        <w:ind w:firstLine="567"/>
        <w:jc w:val="both"/>
        <w:rPr>
          <w:rFonts w:ascii="Times New Roman" w:hAnsi="Times New Roman"/>
          <w:sz w:val="24"/>
          <w:szCs w:val="24"/>
        </w:rPr>
      </w:pPr>
      <w:r>
        <w:rPr>
          <w:rFonts w:cs="Times New Roman" w:ascii="Times New Roman" w:hAnsi="Times New Roman"/>
          <w:b/>
          <w:sz w:val="24"/>
          <w:szCs w:val="24"/>
        </w:rPr>
        <w:t>Статья 3</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1. Утвердить объем безвозмездных поступлений в бюджет муниципального образования городского округа «Вуктыл» в 2020 году в сумме 434 483 891,08 рублей, в том числе объем межбюджетных трансфертов, получаемых из других бюджетов бюджетной системы Российской Федерации, в сумме 434 483 891,08 рублей.</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2. Утвердить объем безвозмездных поступлений в бюджет муниципального образования городского округа «Вуктыл» в 2021 году в сумме 332 733 571,09 рублей, в том числе объем межбюджетных трансфертов, получаемых из других бюджетов бюджетной системы Российской Федерации, в сумме 332 733 571,09 рублей.</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3. Утвердить объем безвозмездных поступлений в бюджет муниципального образования городского округа «Вуктыл» в 2022 году в сумме 337 986 159,78 рублей, в том числе объем межбюджетных трансфертов, получаемых из других бюджетов бюджетной системы Российской Федерации, в сумме 337 986 159,78 рублей.</w:t>
      </w:r>
    </w:p>
    <w:p>
      <w:pPr>
        <w:pStyle w:val="Style25"/>
        <w:ind w:firstLine="567"/>
        <w:rPr>
          <w:rFonts w:ascii="Times New Roman" w:hAnsi="Times New Roman"/>
          <w:sz w:val="24"/>
          <w:szCs w:val="24"/>
        </w:rPr>
      </w:pPr>
      <w:r>
        <w:rPr>
          <w:rFonts w:ascii="Times New Roman" w:hAnsi="Times New Roman"/>
          <w:sz w:val="24"/>
          <w:szCs w:val="24"/>
        </w:rPr>
        <w:t>Статья 4</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Утвердить объем бюджетных ассигнований Дорожного фонда городского округа «Вуктыл» на 2020 год в размере 7 392 981,00 рублей, на 2021 и 2022 годы в размере    7 648 972,00 рублей и 7 649 972,00 рублей соответственно.</w:t>
      </w:r>
    </w:p>
    <w:p>
      <w:pPr>
        <w:pStyle w:val="Normal"/>
        <w:spacing w:lineRule="auto" w:line="360"/>
        <w:ind w:firstLine="540"/>
        <w:jc w:val="both"/>
        <w:rPr>
          <w:rFonts w:ascii="Times New Roman" w:hAnsi="Times New Roman"/>
          <w:sz w:val="24"/>
          <w:szCs w:val="24"/>
        </w:rPr>
      </w:pPr>
      <w:r>
        <w:rPr>
          <w:rFonts w:ascii="Times New Roman" w:hAnsi="Times New Roman"/>
          <w:b/>
          <w:sz w:val="24"/>
          <w:szCs w:val="24"/>
        </w:rPr>
        <w:t>Статья 5</w:t>
      </w:r>
    </w:p>
    <w:p>
      <w:pPr>
        <w:pStyle w:val="ConsPlusNormal1"/>
        <w:tabs>
          <w:tab w:val="left" w:pos="992" w:leader="none"/>
        </w:tabs>
        <w:spacing w:lineRule="auto" w:line="360"/>
        <w:ind w:right="55" w:firstLine="567"/>
        <w:jc w:val="both"/>
        <w:rPr>
          <w:rFonts w:ascii="Times New Roman" w:hAnsi="Times New Roman"/>
          <w:sz w:val="24"/>
          <w:szCs w:val="24"/>
        </w:rPr>
      </w:pPr>
      <w:r>
        <w:rPr>
          <w:rFonts w:cs="Times New Roman" w:ascii="Times New Roman" w:hAnsi="Times New Roman"/>
          <w:sz w:val="24"/>
          <w:szCs w:val="24"/>
        </w:rPr>
        <w:t>1. Утвердить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бюджетов на 2020 год и плановый период 2021 и 2022 годов согласно приложению 1 к настоящему Решению.</w:t>
      </w:r>
    </w:p>
    <w:p>
      <w:pPr>
        <w:pStyle w:val="ConsPlusNormal1"/>
        <w:tabs>
          <w:tab w:val="left" w:pos="992" w:leader="none"/>
        </w:tabs>
        <w:spacing w:lineRule="auto" w:line="360"/>
        <w:ind w:right="55" w:firstLine="567"/>
        <w:jc w:val="both"/>
        <w:rPr>
          <w:rFonts w:ascii="Times New Roman" w:hAnsi="Times New Roman"/>
          <w:sz w:val="24"/>
          <w:szCs w:val="24"/>
        </w:rPr>
      </w:pPr>
      <w:r>
        <w:rPr>
          <w:rFonts w:cs="Times New Roman" w:ascii="Times New Roman" w:hAnsi="Times New Roman"/>
          <w:sz w:val="24"/>
          <w:szCs w:val="24"/>
        </w:rPr>
        <w:t>2. Утвердить ведомственную структуру расходов бюджета муниципального образования городского округа «Вуктыл» на 2020 год и плановый период 2021 и 2022 годов согласно приложению 2 к настоящему Решению.</w:t>
      </w:r>
    </w:p>
    <w:p>
      <w:pPr>
        <w:pStyle w:val="Normal"/>
        <w:tabs>
          <w:tab w:val="left" w:pos="851" w:leader="none"/>
        </w:tabs>
        <w:spacing w:lineRule="auto" w:line="360"/>
        <w:ind w:firstLine="567"/>
        <w:jc w:val="both"/>
        <w:rPr>
          <w:rFonts w:ascii="Times New Roman" w:hAnsi="Times New Roman"/>
          <w:sz w:val="24"/>
          <w:szCs w:val="24"/>
        </w:rPr>
      </w:pPr>
      <w:r>
        <w:rPr>
          <w:rFonts w:ascii="Times New Roman" w:hAnsi="Times New Roman"/>
          <w:b/>
          <w:sz w:val="24"/>
          <w:szCs w:val="24"/>
        </w:rPr>
        <w:t>Статья 6</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 xml:space="preserve">Утвердить источники финансирования дефицита бюджета муниципального образования городского округа «Вуктыл» на 2020 год и плановый период 2021 и 2022 годов согласно приложению 3 к настоящему Решению.  </w:t>
      </w:r>
    </w:p>
    <w:p>
      <w:pPr>
        <w:pStyle w:val="Normal"/>
        <w:tabs>
          <w:tab w:val="left" w:pos="851" w:leader="none"/>
        </w:tabs>
        <w:spacing w:lineRule="auto" w:line="36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Статья 7</w:t>
      </w:r>
      <w:r>
        <w:rPr>
          <w:rFonts w:ascii="Times New Roman" w:hAnsi="Times New Roman"/>
          <w:sz w:val="24"/>
          <w:szCs w:val="24"/>
        </w:rPr>
        <w:t xml:space="preserve"> </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Утвердить перечень главных администраторов доходов бюджета муниципального образования городского округа «Вуктыл» согласно приложению 4 к настоящему Решению.</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Статья 8</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Утвердить перечень главных администратор</w:t>
      </w:r>
      <w:bookmarkStart w:id="0" w:name="_GoBack"/>
      <w:bookmarkEnd w:id="0"/>
      <w:r>
        <w:rPr>
          <w:rFonts w:ascii="Times New Roman" w:hAnsi="Times New Roman"/>
          <w:sz w:val="24"/>
          <w:szCs w:val="24"/>
        </w:rPr>
        <w:t>ов источников финансирования дефицита бюджета муниципального образования городского округа «Вуктыл» согласно приложению 5 к настоящему Решению.</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Статья 9</w:t>
      </w:r>
    </w:p>
    <w:p>
      <w:pPr>
        <w:pStyle w:val="Normal"/>
        <w:spacing w:lineRule="auto" w:line="360"/>
        <w:ind w:firstLine="567"/>
        <w:jc w:val="both"/>
        <w:rPr>
          <w:rFonts w:ascii="Times New Roman" w:hAnsi="Times New Roman"/>
          <w:sz w:val="24"/>
          <w:szCs w:val="24"/>
        </w:rPr>
      </w:pPr>
      <w:r>
        <w:rPr>
          <w:rFonts w:ascii="Times New Roman" w:hAnsi="Times New Roman"/>
          <w:sz w:val="24"/>
          <w:szCs w:val="24"/>
        </w:rPr>
        <w:t>Утвердить нормативы распределения доходов в бюджет муниципального образования городского округа «Вуктыл» на 2020 год и плановый период 2021 и 2022 годов согласно приложению 6 к настоящему Решению.</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Статья 10</w:t>
      </w:r>
    </w:p>
    <w:p>
      <w:pPr>
        <w:pStyle w:val="Normal"/>
        <w:spacing w:lineRule="auto" w:line="360"/>
        <w:ind w:firstLine="567"/>
        <w:jc w:val="both"/>
        <w:rPr>
          <w:rFonts w:ascii="Times New Roman" w:hAnsi="Times New Roman"/>
          <w:sz w:val="24"/>
          <w:szCs w:val="24"/>
        </w:rPr>
      </w:pPr>
      <w:r>
        <w:rPr>
          <w:rFonts w:ascii="Times New Roman" w:hAnsi="Times New Roman"/>
          <w:sz w:val="24"/>
          <w:szCs w:val="24"/>
        </w:rPr>
        <w:t>1. Размер части прибыли муниципальных унитарных предприятий городского округа «Вуктыл», остающейся после уплаты налогов и иных обязательных платежей и подлежащей перечислению в бюджет муниципального образования городского округа «Вуктыл», определяется в процентах от прибыли муниципальных унитарных предприятий городского округа «Вуктыл», остающейся после уплаты налогов и иных обязательных платежей, на основании данных квартальной и годовой бухгалтерской отчетности за вычетом ранее уплаченной части прибыли за отчетный период и равен 30 процентам.</w:t>
      </w:r>
    </w:p>
    <w:p>
      <w:pPr>
        <w:pStyle w:val="Normal"/>
        <w:tabs>
          <w:tab w:val="left" w:pos="1980" w:leader="none"/>
        </w:tabs>
        <w:spacing w:lineRule="auto" w:line="360"/>
        <w:ind w:firstLine="540"/>
        <w:jc w:val="both"/>
        <w:rPr>
          <w:rFonts w:ascii="Times New Roman" w:hAnsi="Times New Roman"/>
          <w:sz w:val="24"/>
          <w:szCs w:val="24"/>
        </w:rPr>
      </w:pPr>
      <w:r>
        <w:rPr>
          <w:rFonts w:ascii="Times New Roman" w:hAnsi="Times New Roman"/>
          <w:sz w:val="24"/>
          <w:szCs w:val="24"/>
        </w:rPr>
        <w:t>2. Перечисление указанных в части 1 настоящей статьи платежей в бюджет муниципального образования городского округа «Вуктыл» производится в порядке и в сроки, установленные администрацией городского округа «Вуктыл».</w:t>
      </w:r>
    </w:p>
    <w:p>
      <w:pPr>
        <w:pStyle w:val="Normal"/>
        <w:tabs>
          <w:tab w:val="left" w:pos="1980" w:leader="none"/>
        </w:tabs>
        <w:spacing w:lineRule="auto" w:line="360"/>
        <w:ind w:firstLine="540"/>
        <w:jc w:val="both"/>
        <w:rPr>
          <w:rFonts w:ascii="Times New Roman" w:hAnsi="Times New Roman"/>
          <w:sz w:val="24"/>
          <w:szCs w:val="24"/>
        </w:rPr>
      </w:pPr>
      <w:r>
        <w:rPr>
          <w:rFonts w:ascii="Times New Roman" w:hAnsi="Times New Roman"/>
          <w:b/>
          <w:sz w:val="24"/>
          <w:szCs w:val="24"/>
        </w:rPr>
        <w:t>Статья 11</w:t>
      </w:r>
    </w:p>
    <w:p>
      <w:pPr>
        <w:pStyle w:val="Normal"/>
        <w:tabs>
          <w:tab w:val="left" w:pos="1980" w:leader="none"/>
        </w:tabs>
        <w:spacing w:lineRule="auto" w:line="360"/>
        <w:ind w:firstLine="540"/>
        <w:jc w:val="both"/>
        <w:rPr>
          <w:rFonts w:ascii="Times New Roman" w:hAnsi="Times New Roman"/>
          <w:sz w:val="24"/>
          <w:szCs w:val="24"/>
        </w:rPr>
      </w:pPr>
      <w:r>
        <w:rPr>
          <w:rFonts w:ascii="Times New Roman" w:hAnsi="Times New Roman"/>
          <w:sz w:val="24"/>
          <w:szCs w:val="24"/>
        </w:rPr>
        <w:t>1. Установить верхний предел муниципального долга муниципального образования городского округа «Вуктыл» по состоянию на 1 января 2021 года в сумме 41 803 000,00 рублей, в том числе верхний предел долга по муниципальным гарантиям городского округа «Вуктыл» в сумме 0,00 рублей.</w:t>
      </w:r>
    </w:p>
    <w:p>
      <w:pPr>
        <w:pStyle w:val="Normal"/>
        <w:tabs>
          <w:tab w:val="left" w:pos="1980" w:leader="none"/>
        </w:tabs>
        <w:spacing w:lineRule="auto" w:line="360"/>
        <w:ind w:firstLine="540"/>
        <w:jc w:val="both"/>
        <w:rPr>
          <w:rFonts w:ascii="Times New Roman" w:hAnsi="Times New Roman"/>
          <w:sz w:val="24"/>
          <w:szCs w:val="24"/>
        </w:rPr>
      </w:pPr>
      <w:r>
        <w:rPr>
          <w:rFonts w:ascii="Times New Roman" w:hAnsi="Times New Roman"/>
          <w:sz w:val="24"/>
          <w:szCs w:val="24"/>
        </w:rPr>
        <w:t>2. Установить верхний предел муниципального долга муниципального образования городского округа «Вуктыл» по состоянию на 1 января 2022 года в сумме 39 999 600,00 рублей, в том числе верхний предел долга по муниципальным гарантиям городского округа «Вуктыл» в сумме 0,00 рублей, и на 1 января 2023 года в сумме 37 499 600,00 рублей, в том числе верхний предел долга по муниципальным гарантиям городского округа «Вуктыл» в сумме 0,00 рублей.</w:t>
      </w:r>
    </w:p>
    <w:p>
      <w:pPr>
        <w:pStyle w:val="Normal"/>
        <w:tabs>
          <w:tab w:val="left" w:pos="2268" w:leader="none"/>
        </w:tabs>
        <w:spacing w:lineRule="auto" w:line="360"/>
        <w:ind w:right="-85" w:firstLine="567"/>
        <w:jc w:val="both"/>
        <w:rPr>
          <w:rFonts w:ascii="Times New Roman" w:hAnsi="Times New Roman"/>
          <w:sz w:val="24"/>
          <w:szCs w:val="24"/>
        </w:rPr>
      </w:pPr>
      <w:r>
        <w:rPr>
          <w:rFonts w:ascii="Times New Roman" w:hAnsi="Times New Roman"/>
          <w:sz w:val="24"/>
          <w:szCs w:val="24"/>
        </w:rPr>
        <w:t>3. Утвердить объем расходов на обслуживание муниципального долга муниципального образования городского округа «Вуктыл» в 2020 году в сумме 4 772 400,00 рублей.</w:t>
      </w:r>
    </w:p>
    <w:p>
      <w:pPr>
        <w:pStyle w:val="Normal"/>
        <w:tabs>
          <w:tab w:val="left" w:pos="2268" w:leader="none"/>
        </w:tabs>
        <w:spacing w:lineRule="auto" w:line="360"/>
        <w:ind w:right="-85" w:firstLine="567"/>
        <w:jc w:val="both"/>
        <w:rPr>
          <w:rFonts w:ascii="Times New Roman" w:hAnsi="Times New Roman"/>
          <w:sz w:val="24"/>
          <w:szCs w:val="24"/>
        </w:rPr>
      </w:pPr>
      <w:r>
        <w:rPr>
          <w:rFonts w:ascii="Times New Roman" w:hAnsi="Times New Roman"/>
          <w:sz w:val="24"/>
          <w:szCs w:val="24"/>
        </w:rPr>
        <w:t>4. Утвердить объем расходов на обслуживание муниципального долга муниципального образования городского округа «Вуктыл» в 2021 году в сумме 5 247 420,00 рублей и в 2022 году в сумме 5 040 990,00 рублей.</w:t>
      </w:r>
    </w:p>
    <w:p>
      <w:pPr>
        <w:pStyle w:val="Normal"/>
        <w:tabs>
          <w:tab w:val="left" w:pos="2268" w:leader="none"/>
        </w:tabs>
        <w:spacing w:lineRule="auto" w:line="360"/>
        <w:ind w:firstLine="567"/>
        <w:jc w:val="both"/>
        <w:rPr>
          <w:rFonts w:ascii="Times New Roman" w:hAnsi="Times New Roman"/>
          <w:sz w:val="24"/>
          <w:szCs w:val="24"/>
        </w:rPr>
      </w:pPr>
      <w:r>
        <w:rPr>
          <w:rFonts w:ascii="Times New Roman" w:hAnsi="Times New Roman"/>
          <w:b/>
          <w:sz w:val="24"/>
          <w:szCs w:val="24"/>
        </w:rPr>
        <w:t>Статья 12</w:t>
      </w:r>
    </w:p>
    <w:p>
      <w:pPr>
        <w:pStyle w:val="Normal"/>
        <w:tabs>
          <w:tab w:val="left" w:pos="2268" w:leader="none"/>
        </w:tabs>
        <w:spacing w:lineRule="auto" w:line="360"/>
        <w:ind w:right="55" w:firstLine="567"/>
        <w:jc w:val="both"/>
        <w:rPr>
          <w:rFonts w:ascii="Times New Roman" w:hAnsi="Times New Roman"/>
          <w:sz w:val="24"/>
          <w:szCs w:val="24"/>
        </w:rPr>
      </w:pPr>
      <w:r>
        <w:rPr>
          <w:rFonts w:ascii="Times New Roman" w:hAnsi="Times New Roman"/>
          <w:sz w:val="24"/>
          <w:szCs w:val="24"/>
        </w:rPr>
        <w:t>1. Утвердить программу муниципальных внутренних заимствований муниципального образования городского округа «Вуктыл» на 2020 год и плановый период 2021 и 2022 годов согласно приложению 7 к настоящему Решению.</w:t>
      </w:r>
    </w:p>
    <w:p>
      <w:pPr>
        <w:pStyle w:val="Normal"/>
        <w:tabs>
          <w:tab w:val="left" w:pos="2268" w:leader="none"/>
        </w:tabs>
        <w:spacing w:lineRule="auto" w:line="360"/>
        <w:ind w:right="55" w:firstLine="567"/>
        <w:jc w:val="both"/>
        <w:rPr>
          <w:rFonts w:ascii="Times New Roman" w:hAnsi="Times New Roman"/>
          <w:sz w:val="24"/>
          <w:szCs w:val="24"/>
        </w:rPr>
      </w:pPr>
      <w:r>
        <w:rPr>
          <w:rFonts w:ascii="Times New Roman" w:hAnsi="Times New Roman"/>
          <w:sz w:val="24"/>
          <w:szCs w:val="24"/>
        </w:rPr>
        <w:t xml:space="preserve">2. Муниципальные внутренние заимствования муниципального образования городского округа «Вуктыл» осуществляются в целях финансирования дефицита бюджета муниципального образования городского округа «Вуктыл», а также погашения долговых обязательств городского округа «Вуктыл», </w:t>
      </w:r>
      <w:r>
        <w:rPr>
          <w:rFonts w:ascii="Times New Roman" w:hAnsi="Times New Roman"/>
          <w:sz w:val="24"/>
          <w:szCs w:val="24"/>
          <w:lang w:eastAsia="ru-RU"/>
        </w:rPr>
        <w:t xml:space="preserve">пополнения в течение финансового года остатков средств на счетах бюджета </w:t>
      </w:r>
      <w:r>
        <w:rPr>
          <w:rFonts w:ascii="Times New Roman" w:hAnsi="Times New Roman"/>
          <w:sz w:val="24"/>
          <w:szCs w:val="24"/>
        </w:rPr>
        <w:t>муниципального образования городского округа «Вуктыл».</w:t>
      </w:r>
    </w:p>
    <w:p>
      <w:pPr>
        <w:pStyle w:val="Normal"/>
        <w:tabs>
          <w:tab w:val="left" w:pos="2268" w:leader="none"/>
        </w:tabs>
        <w:spacing w:lineRule="auto" w:line="360"/>
        <w:ind w:firstLine="567"/>
        <w:jc w:val="both"/>
        <w:rPr>
          <w:rFonts w:ascii="Times New Roman" w:hAnsi="Times New Roman"/>
          <w:sz w:val="24"/>
          <w:szCs w:val="24"/>
        </w:rPr>
      </w:pPr>
      <w:r>
        <w:rPr>
          <w:rFonts w:ascii="Times New Roman" w:hAnsi="Times New Roman"/>
          <w:b/>
          <w:sz w:val="24"/>
          <w:szCs w:val="24"/>
        </w:rPr>
        <w:t>Статья 13</w:t>
      </w:r>
    </w:p>
    <w:p>
      <w:pPr>
        <w:pStyle w:val="Normal"/>
        <w:tabs>
          <w:tab w:val="left" w:pos="2268" w:leader="none"/>
        </w:tabs>
        <w:spacing w:lineRule="auto" w:line="360"/>
        <w:ind w:right="55" w:firstLine="567"/>
        <w:jc w:val="both"/>
        <w:rPr>
          <w:rFonts w:ascii="Times New Roman" w:hAnsi="Times New Roman"/>
          <w:sz w:val="24"/>
          <w:szCs w:val="24"/>
        </w:rPr>
      </w:pPr>
      <w:r>
        <w:rPr>
          <w:rFonts w:ascii="Times New Roman" w:hAnsi="Times New Roman"/>
          <w:sz w:val="24"/>
          <w:szCs w:val="24"/>
        </w:rPr>
        <w:t>Утвердить программу муниципальных гарантий муниципального образования городского округа «Вуктыл» в валюте Российской Федерации на 2020 год и плановый период 2021 и 2022 годов согласно приложению 8 к настоящему Решению.</w:t>
      </w:r>
    </w:p>
    <w:p>
      <w:pPr>
        <w:pStyle w:val="Normal"/>
        <w:tabs>
          <w:tab w:val="left" w:pos="2268" w:leader="none"/>
        </w:tabs>
        <w:spacing w:lineRule="auto" w:line="360"/>
        <w:ind w:firstLine="567"/>
        <w:jc w:val="both"/>
        <w:rPr>
          <w:rFonts w:ascii="Times New Roman" w:hAnsi="Times New Roman"/>
          <w:sz w:val="24"/>
          <w:szCs w:val="24"/>
        </w:rPr>
      </w:pPr>
      <w:r>
        <w:rPr>
          <w:rFonts w:ascii="Times New Roman" w:hAnsi="Times New Roman"/>
          <w:b/>
          <w:sz w:val="24"/>
          <w:szCs w:val="24"/>
        </w:rPr>
        <w:t>Статья 14</w:t>
      </w:r>
    </w:p>
    <w:p>
      <w:pPr>
        <w:pStyle w:val="Normal"/>
        <w:tabs>
          <w:tab w:val="left" w:pos="2268" w:leader="none"/>
        </w:tabs>
        <w:spacing w:lineRule="auto" w:line="360"/>
        <w:ind w:right="55" w:firstLine="567"/>
        <w:jc w:val="both"/>
        <w:rPr>
          <w:rFonts w:ascii="Times New Roman" w:hAnsi="Times New Roman"/>
          <w:sz w:val="24"/>
          <w:szCs w:val="24"/>
        </w:rPr>
      </w:pPr>
      <w:r>
        <w:rPr>
          <w:rFonts w:ascii="Times New Roman" w:hAnsi="Times New Roman"/>
          <w:sz w:val="24"/>
          <w:szCs w:val="24"/>
        </w:rPr>
        <w:t>Установить, что неналоговые доходы, поступающие заказчикам муниципального образования городского округа «Вуктыл», действующим от имени муниципального образования городского округа «Вуктыл»,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зачисляются в доход бюджета муниципального образования городского округа «Вуктыл».</w:t>
      </w:r>
    </w:p>
    <w:p>
      <w:pPr>
        <w:pStyle w:val="ConsPlusNormal1"/>
        <w:tabs>
          <w:tab w:val="left" w:pos="992" w:leader="none"/>
        </w:tabs>
        <w:spacing w:lineRule="auto" w:line="360"/>
        <w:ind w:firstLine="567"/>
        <w:jc w:val="both"/>
        <w:rPr>
          <w:rFonts w:ascii="Times New Roman" w:hAnsi="Times New Roman"/>
          <w:sz w:val="24"/>
          <w:szCs w:val="24"/>
        </w:rPr>
      </w:pPr>
      <w:r>
        <w:rPr>
          <w:rFonts w:cs="Times New Roman" w:ascii="Times New Roman" w:hAnsi="Times New Roman"/>
          <w:b/>
          <w:sz w:val="24"/>
          <w:szCs w:val="24"/>
        </w:rPr>
        <w:t>Статья 15</w:t>
      </w:r>
    </w:p>
    <w:p>
      <w:pPr>
        <w:pStyle w:val="Normal"/>
        <w:spacing w:lineRule="auto" w:line="360"/>
        <w:ind w:right="55" w:firstLine="567"/>
        <w:jc w:val="both"/>
        <w:rPr>
          <w:rFonts w:ascii="Times New Roman" w:hAnsi="Times New Roman"/>
          <w:sz w:val="24"/>
          <w:szCs w:val="24"/>
        </w:rPr>
      </w:pPr>
      <w:r>
        <w:rPr>
          <w:rFonts w:ascii="Times New Roman" w:hAnsi="Times New Roman"/>
          <w:sz w:val="24"/>
          <w:szCs w:val="24"/>
        </w:rPr>
        <w:t xml:space="preserve">Субсидии юридическим лицам </w:t>
      </w:r>
      <w:r>
        <w:rPr>
          <w:rFonts w:cs="Calibri" w:ascii="Times New Roman" w:hAnsi="Times New Roman"/>
          <w:sz w:val="24"/>
          <w:szCs w:val="24"/>
        </w:rPr>
        <w:t xml:space="preserve">(за исключением субсидий муниципальным учреждениям, </w:t>
      </w:r>
      <w:r>
        <w:rPr>
          <w:rFonts w:ascii="Times New Roman" w:hAnsi="Times New Roman"/>
          <w:sz w:val="24"/>
          <w:szCs w:val="24"/>
        </w:rPr>
        <w:t>а также субсидий, указанных в пунктах 6 - 8 статьи 78 Бюджетного кодекса Российской Федерации</w:t>
      </w:r>
      <w:r>
        <w:rPr>
          <w:rFonts w:cs="Calibri" w:ascii="Times New Roman" w:hAnsi="Times New Roman"/>
          <w:sz w:val="24"/>
          <w:szCs w:val="24"/>
        </w:rPr>
        <w:t>)</w:t>
      </w:r>
      <w:r>
        <w:rPr>
          <w:rFonts w:ascii="Times New Roman" w:hAnsi="Times New Roman"/>
          <w:sz w:val="24"/>
          <w:szCs w:val="24"/>
        </w:rPr>
        <w:t xml:space="preserve">, индивидуальным предпринимателям, а также физическим лицам - производителям товаров, работ, услуг, предусмотренные настоящим Решением, предоставляются </w:t>
      </w:r>
      <w:r>
        <w:rPr>
          <w:rFonts w:cs="Calibri" w:ascii="Times New Roman" w:hAnsi="Times New Roman"/>
          <w:sz w:val="24"/>
          <w:szCs w:val="24"/>
        </w:rPr>
        <w:t xml:space="preserve">в случаях и порядке, </w:t>
      </w:r>
      <w:r>
        <w:rPr>
          <w:rFonts w:ascii="Times New Roman" w:hAnsi="Times New Roman"/>
          <w:sz w:val="24"/>
          <w:szCs w:val="24"/>
        </w:rPr>
        <w:t xml:space="preserve">предусмотренных настоящим Решением и принимаемыми в соответствии с ним нормативными правовыми актами администрации городского округа «Вуктыл», </w:t>
      </w:r>
      <w:r>
        <w:rPr>
          <w:rFonts w:cs="Calibri" w:ascii="Times New Roman" w:hAnsi="Times New Roman"/>
          <w:sz w:val="24"/>
          <w:szCs w:val="24"/>
        </w:rPr>
        <w:t xml:space="preserve">с учетом требований,  указанных в </w:t>
      </w:r>
      <w:r>
        <w:rPr>
          <w:rFonts w:ascii="Times New Roman" w:hAnsi="Times New Roman"/>
          <w:sz w:val="24"/>
          <w:szCs w:val="24"/>
        </w:rPr>
        <w:t>пункте 3 статьи 78 Бюджетного кодекса Российской Федерации</w:t>
      </w:r>
      <w:r>
        <w:rPr>
          <w:rFonts w:cs="Calibri" w:ascii="Times New Roman" w:hAnsi="Times New Roman"/>
          <w:sz w:val="24"/>
          <w:szCs w:val="24"/>
        </w:rPr>
        <w:t>.</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 xml:space="preserve">Статья 16 </w:t>
      </w:r>
    </w:p>
    <w:p>
      <w:pPr>
        <w:pStyle w:val="Normal"/>
        <w:spacing w:lineRule="auto" w:line="336"/>
        <w:ind w:right="55" w:firstLine="567"/>
        <w:jc w:val="both"/>
        <w:rPr>
          <w:rFonts w:ascii="Times New Roman" w:hAnsi="Times New Roman"/>
          <w:sz w:val="24"/>
          <w:szCs w:val="24"/>
        </w:rPr>
      </w:pPr>
      <w:r>
        <w:rPr>
          <w:rFonts w:ascii="Times New Roman" w:hAnsi="Times New Roman"/>
          <w:sz w:val="24"/>
          <w:szCs w:val="24"/>
        </w:rPr>
        <w:t>Установить в 2020 году предельную численность работников, замещающих должности муниципальной службы, в количестве 31 штатных единиц.</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 xml:space="preserve">Статья 17 </w:t>
      </w:r>
    </w:p>
    <w:p>
      <w:pPr>
        <w:pStyle w:val="ConsPlusNormal1"/>
        <w:tabs>
          <w:tab w:val="left" w:pos="567" w:leader="none"/>
        </w:tabs>
        <w:spacing w:lineRule="auto" w:line="360"/>
        <w:ind w:firstLine="567"/>
        <w:jc w:val="both"/>
        <w:rPr>
          <w:rFonts w:ascii="Times New Roman" w:hAnsi="Times New Roman"/>
          <w:sz w:val="24"/>
          <w:szCs w:val="24"/>
        </w:rPr>
      </w:pPr>
      <w:r>
        <w:rPr>
          <w:rFonts w:cs="Times New Roman" w:ascii="Times New Roman" w:hAnsi="Times New Roman"/>
          <w:sz w:val="24"/>
          <w:szCs w:val="24"/>
        </w:rPr>
        <w:t>1. Установить в соответствии с пунктом 8 статьи 217 Бюджетного кодекса Российской Федерации и пунктом 3 статьи 31 Решения Совета городского округа «Вуктыл» «Об утверждении Положения о бюджетном процессе в муниципальном образовании городского округа «Вуктыл», утверждённого решением Совета городского округа «Вуктыл» от 13.12.2018 № 353, следующие дополнительные основания для внесения в 2020 году изменений в показатели сводной бюджетной росписи бюджета муниципального образования городского округа «Вуктыл» без внесения изменений в Решение о бюджете:</w:t>
      </w:r>
    </w:p>
    <w:p>
      <w:pPr>
        <w:pStyle w:val="Normal"/>
        <w:spacing w:lineRule="auto" w:line="360"/>
        <w:ind w:firstLine="567"/>
        <w:jc w:val="both"/>
        <w:rPr>
          <w:rFonts w:ascii="Times New Roman" w:hAnsi="Times New Roman"/>
          <w:sz w:val="24"/>
          <w:szCs w:val="24"/>
        </w:rPr>
      </w:pPr>
      <w:r>
        <w:rPr>
          <w:rFonts w:ascii="Times New Roman" w:hAnsi="Times New Roman"/>
          <w:sz w:val="24"/>
          <w:szCs w:val="24"/>
        </w:rPr>
        <w:t>1) перераспределение бюджетных ассигнований на осуществление бюджетных инвестиций в объекты капитального строительства муниципальной собственности городского округа «Вуктыл», предусмотренных программой городского округа «Вуктыл», в том числе в случае отсутствия на 1 апреля 2020 года утвержденной в установленном порядке проектной документации по объектам капитального строительства, включенным в программу городского округа «Вуктыл» (за исключением бюджетных ассигнований Дорожного фонда городского округа «Вуктыл»), в соответствии с порядком, установленным администрацией городского округа «Вуктыл»;</w:t>
      </w:r>
    </w:p>
    <w:p>
      <w:pPr>
        <w:pStyle w:val="Normal"/>
        <w:spacing w:lineRule="auto" w:line="360"/>
        <w:ind w:firstLine="567"/>
        <w:jc w:val="both"/>
        <w:rPr>
          <w:rFonts w:ascii="Times New Roman" w:hAnsi="Times New Roman"/>
          <w:sz w:val="24"/>
          <w:szCs w:val="24"/>
        </w:rPr>
      </w:pPr>
      <w:r>
        <w:rPr>
          <w:rFonts w:ascii="Times New Roman" w:hAnsi="Times New Roman"/>
          <w:sz w:val="24"/>
          <w:szCs w:val="24"/>
        </w:rPr>
        <w:t>2) распределение главным распорядителям бюджетных средств остатков средств бюджета муниципального образования городского округа «Вуктыл», образовавшихся на 1 января 2020 года за счет не использованных в 2019 году межбюджетных трансфертов, полученных в форме субсидий, субвенций и иных межбюджетных трансфертов, имеющих целевое назначение;</w:t>
      </w:r>
    </w:p>
    <w:p>
      <w:pPr>
        <w:pStyle w:val="Normal"/>
        <w:spacing w:lineRule="auto" w:line="360"/>
        <w:ind w:firstLine="567"/>
        <w:jc w:val="both"/>
        <w:rPr>
          <w:rFonts w:ascii="Times New Roman" w:hAnsi="Times New Roman"/>
          <w:sz w:val="24"/>
          <w:szCs w:val="24"/>
        </w:rPr>
      </w:pPr>
      <w:r>
        <w:rPr>
          <w:rFonts w:ascii="Times New Roman" w:hAnsi="Times New Roman"/>
          <w:sz w:val="24"/>
          <w:szCs w:val="24"/>
        </w:rPr>
        <w:t>3) перераспределение бюджетных ассигнований в пределах утвержденного настоящим Решением объема бюджетных ассигнований на реализацию нормативных правовых актов городского округа «Вуктыл», устанавливающих расходные обязательства городского округа «Вуктыл» в виде социальных выплат, в случае изменения численности получателей и (или) размера социальных выплат;</w:t>
      </w:r>
    </w:p>
    <w:p>
      <w:pPr>
        <w:pStyle w:val="Normal"/>
        <w:spacing w:lineRule="auto" w:line="360"/>
        <w:ind w:firstLine="567"/>
        <w:jc w:val="both"/>
        <w:rPr>
          <w:rFonts w:ascii="Times New Roman" w:hAnsi="Times New Roman"/>
          <w:sz w:val="24"/>
          <w:szCs w:val="24"/>
        </w:rPr>
      </w:pPr>
      <w:r>
        <w:rPr>
          <w:rFonts w:ascii="Times New Roman" w:hAnsi="Times New Roman"/>
          <w:sz w:val="24"/>
          <w:szCs w:val="24"/>
        </w:rPr>
        <w:t>4) внесение Министерством финансов Российской Федерации изменений в Порядок формирования и применения кодов бюджетной классификации Российской Федерации, их структуры и принципов назначения, в части отражения расходов по кодам разделов, подразделов, видов расходов, а также по кодам целевых статей в части отражения расходов, осуществляемых за счет межбюджетных трансфертов, полученных в форме субсидий, субвенций, иных межбюджетных трансфертов, имеющих целевое назначение;</w:t>
      </w:r>
    </w:p>
    <w:p>
      <w:pPr>
        <w:pStyle w:val="Normal"/>
        <w:spacing w:lineRule="auto" w:line="360"/>
        <w:ind w:firstLine="567"/>
        <w:jc w:val="both"/>
        <w:rPr>
          <w:rFonts w:ascii="Times New Roman" w:hAnsi="Times New Roman"/>
          <w:sz w:val="24"/>
          <w:szCs w:val="24"/>
        </w:rPr>
      </w:pPr>
      <w:r>
        <w:rPr>
          <w:rFonts w:ascii="Times New Roman" w:hAnsi="Times New Roman"/>
          <w:sz w:val="24"/>
          <w:szCs w:val="24"/>
        </w:rPr>
        <w:t>5) перераспределение бюджетных ассигнований в пределах, предусмотренных главному распорядителю бюджетных средств на предоставление бюджетным и автономным учреждениям субсидий на финансовое обеспечение муниципального задания на оказание муниципальных услуг (выполнение работ) и субсидий на иные цели;</w:t>
      </w:r>
    </w:p>
    <w:p>
      <w:pPr>
        <w:pStyle w:val="ConsPlusNormal1"/>
        <w:tabs>
          <w:tab w:val="left" w:pos="992" w:leader="none"/>
        </w:tabs>
        <w:spacing w:lineRule="auto" w:line="360"/>
        <w:ind w:firstLine="567"/>
        <w:jc w:val="both"/>
        <w:rPr>
          <w:rFonts w:ascii="Times New Roman" w:hAnsi="Times New Roman"/>
          <w:sz w:val="24"/>
          <w:szCs w:val="24"/>
        </w:rPr>
      </w:pPr>
      <w:r>
        <w:rPr>
          <w:rFonts w:cs="Times New Roman" w:ascii="Times New Roman" w:hAnsi="Times New Roman"/>
          <w:sz w:val="24"/>
          <w:szCs w:val="24"/>
        </w:rPr>
        <w:t>6) перераспределение бюджетных ассигнований в пределах утвержденного решением о бюджете объема бюджетных ассигнований на реализацию муниципальной программы городского округа «Вуктыл» на соответствующий финансовый год в связи с вступлением в силу нормативного правового акта администрации городского округа «Вуктыл» о внесении изменений в муниципальную программу городского округа «Вуктыл»;</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 xml:space="preserve">7) перераспределение бюджетных ассигнований в пределах утвержденного настоящим Решением объема бюджетных ассигнований, предусмотренных по основному мероприятию целевой статьи расходов (11 - 12 разряды кода классификации расходов бюджета), в случае детализации (изменения детализации) этого основного мероприятия по направлениям расходов целевой статьи расходов (13 - 17 разряды кода классификации расходов бюджета) и (или) перераспределения между разделами, подразделами и (или) видами расходов, а также предусмотренных по целевой статье непрограммных направлений деятельности между разделами, подразделами и (или) видами расходов; </w:t>
      </w:r>
    </w:p>
    <w:p>
      <w:pPr>
        <w:pStyle w:val="Style23"/>
        <w:overflowPunct w:val="false"/>
        <w:spacing w:lineRule="auto" w:line="360" w:before="0" w:after="0"/>
        <w:ind w:left="0" w:right="-6" w:firstLine="567"/>
        <w:jc w:val="both"/>
        <w:textAlignment w:val="auto"/>
        <w:rPr>
          <w:rFonts w:ascii="Times New Roman" w:hAnsi="Times New Roman"/>
          <w:sz w:val="24"/>
          <w:szCs w:val="24"/>
        </w:rPr>
      </w:pPr>
      <w:r>
        <w:rPr>
          <w:rFonts w:ascii="Times New Roman" w:hAnsi="Times New Roman"/>
          <w:sz w:val="24"/>
          <w:szCs w:val="24"/>
        </w:rPr>
        <w:t>8) перераспределение бюджетных ассигнований по разделам, подразделам, целевым статьям, видам расходов бюджета – в пределах общего объема бюджетных ассигнований, предусмотренных главному распорядителю в текущем финансовом году на оказание муниципальных услуг при условии, что увеличение бюджетных ассигнований по соответствующему виду расходов не превышает 50 процентов;</w:t>
      </w:r>
    </w:p>
    <w:p>
      <w:pPr>
        <w:pStyle w:val="Style23"/>
        <w:overflowPunct w:val="false"/>
        <w:spacing w:lineRule="auto" w:line="360" w:before="0" w:after="0"/>
        <w:ind w:left="0" w:right="-6" w:firstLine="567"/>
        <w:jc w:val="both"/>
        <w:textAlignment w:val="auto"/>
        <w:rPr>
          <w:rFonts w:ascii="Times New Roman" w:hAnsi="Times New Roman"/>
          <w:sz w:val="24"/>
          <w:szCs w:val="24"/>
        </w:rPr>
      </w:pPr>
      <w:r>
        <w:rPr>
          <w:rFonts w:ascii="Times New Roman" w:hAnsi="Times New Roman"/>
          <w:sz w:val="24"/>
          <w:szCs w:val="24"/>
        </w:rPr>
        <w:t>9) перераспределение бюджетных ассигнований на финансовое обеспечение выполнения муниципального задания в случае создания (ликвидации, реорганизации) муниципального учреждения городского округа «Вуктыл» или передачи функций и полномочий учредителя муниципального учреждения городского округа «Вуктыл» другому отраслевому (функциональному) органу администрации городского округа «Вуктыл» в пределах предусмотренного общего объема бюджетных ассигнований;</w:t>
      </w:r>
    </w:p>
    <w:p>
      <w:pPr>
        <w:pStyle w:val="Style23"/>
        <w:overflowPunct w:val="false"/>
        <w:spacing w:lineRule="auto" w:line="360" w:before="0" w:after="0"/>
        <w:ind w:left="0" w:right="-6" w:firstLine="567"/>
        <w:jc w:val="both"/>
        <w:textAlignment w:val="auto"/>
        <w:rPr>
          <w:rFonts w:ascii="Times New Roman" w:hAnsi="Times New Roman"/>
          <w:sz w:val="24"/>
          <w:szCs w:val="24"/>
        </w:rPr>
      </w:pPr>
      <w:r>
        <w:rPr>
          <w:rFonts w:ascii="Times New Roman" w:hAnsi="Times New Roman"/>
          <w:sz w:val="24"/>
          <w:szCs w:val="24"/>
        </w:rPr>
        <w:t>10) перераспределение бюджетных ассигнований, связанные с увеличением бюджетных ассигнований на сумму средств, необходимых для выполнения условий софинансирования по целевым программам, принятым бюджетами других уровней, в том числе в связи с введением новых кодов классификации расходов бюджетов Российской Федерации в случае необходимости выполнения условий софинансирования по целевым программам, принятым бюджетами других уровней бюджетной системы Российской Федерации;</w:t>
      </w:r>
    </w:p>
    <w:p>
      <w:pPr>
        <w:pStyle w:val="Style23"/>
        <w:overflowPunct w:val="false"/>
        <w:spacing w:lineRule="auto" w:line="360" w:before="0" w:after="0"/>
        <w:ind w:left="0" w:right="-6" w:firstLine="567"/>
        <w:jc w:val="both"/>
        <w:textAlignment w:val="auto"/>
        <w:rPr>
          <w:rFonts w:ascii="Times New Roman" w:hAnsi="Times New Roman"/>
          <w:sz w:val="24"/>
          <w:szCs w:val="24"/>
        </w:rPr>
      </w:pPr>
      <w:r>
        <w:rPr>
          <w:rFonts w:ascii="Times New Roman" w:hAnsi="Times New Roman"/>
          <w:sz w:val="24"/>
          <w:szCs w:val="24"/>
        </w:rPr>
        <w:t>11) сокращение (перераспределение) бюджетных ассигнований по средствам безвозмездных поступлений из других бюджетов бюджетной системы Российской Федерации по полученным уведомлениям;</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12) уточнение разделов, подразделов, целевых статей, видов расходов в случаях, необходимых для изменения бюджетной классификации расходов, - в пределах объема бюджетных ассигнований, предусмотренных главному распорядителю;</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13) перераспределение бюджетных ассигнований в связи с принятием в муниципальную собственность городского округа «Вуктыл» недвижимого имущества в соответствии с решениями Совета городского округа «Вуктыл» в пределах утвержденного настоящим Решением общего объема бюджетных ассигнований;</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14) перераспределение бюджетных ассигнований в пределах общего объема бюджетных ассигнований, утвержденного настоящим Решением, в целях реализации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15) увеличение бюджетных ассигнований на финансовое обеспечение реализации региональных проектов, обеспечивающих достижение целей и целевых показателей, выполнение задач, определенных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в объеме неполного использования в 2019 году бюджетных ассигнований, предусмотренных на финансовое обеспечение реализации региональных проектов, по соответствующему коду классификации расходов бюджета муниципального образования городского округа «Вуктыл», в случае принятия администрацией городского округа «Вуктыл» соответствующего решения в пределах свободного остатка средств на счетах по учету средств бюджета муниципального образования городского округа «Вуктыл»;</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 xml:space="preserve">16) </w:t>
      </w:r>
      <w:r>
        <w:rPr>
          <w:rFonts w:ascii="Times New Roman" w:hAnsi="Times New Roman"/>
          <w:b w:val="false"/>
          <w:sz w:val="24"/>
          <w:szCs w:val="24"/>
          <w:lang w:eastAsia="ru-RU"/>
        </w:rPr>
        <w:t>изменение бюджетных ассигнований муниципального дорожного фонда муниципального образования городского округа «Вуктыл» в случаях, установленных в пунктах 5-6 решения Совета городского округа «Вуктыл» от 14.12.2016 № 167 «О муниципальном дорожном фонде муниципального образования городского округа «Вуктыл».</w:t>
      </w:r>
    </w:p>
    <w:p>
      <w:pPr>
        <w:pStyle w:val="Style25"/>
        <w:widowControl w:val="false"/>
        <w:ind w:firstLine="567"/>
        <w:rPr>
          <w:rFonts w:ascii="Times New Roman" w:hAnsi="Times New Roman"/>
          <w:sz w:val="24"/>
          <w:szCs w:val="24"/>
        </w:rPr>
      </w:pPr>
      <w:r>
        <w:rPr>
          <w:rFonts w:ascii="Times New Roman" w:hAnsi="Times New Roman"/>
          <w:b w:val="false"/>
          <w:sz w:val="24"/>
          <w:szCs w:val="24"/>
        </w:rPr>
        <w:t>2. Внесение в 2020 году изменений в показатели сводной бюджетной росписи бюджета муниципального образования городского округа «Вуктыл» в связи с увеличением бюджетных ассигнований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городского округа «Вуктыл» муниципальных контрактов, подлежавших в соответствии с условиями этих муниципальных контрактов оплате в отчетном финансовом году, осуществляется в случае принятия администрацией городского округа «Вуктыл» решения об увеличении бюджетных ассигнований главному распорядителю бюджетных средств на оплату указанных в настоящей части муниципальных контрактов.</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3. Внесение в 2020 году изменений в показатели сводной бюджетной росписи бюджета муниципального образования городского округа «Вуктыл» в связи с увеличением бюджетных ассигнований текущего финансового года на предоставление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осуществляется в случае принятия администрацией городского округа «Вуктыл» решения об увеличении бюджетных ассигнований главному распорядителю бюджетных средств, в объеме, не превышающем сумму остатка неиспользованных в отчетном финансовом году бюджетных ассигнований на предоставление указанных межбюджетных трансфертов.</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Статья 18</w:t>
      </w:r>
    </w:p>
    <w:p>
      <w:pPr>
        <w:pStyle w:val="Style25"/>
        <w:keepNext w:val="false"/>
        <w:widowControl w:val="false"/>
        <w:ind w:firstLine="567"/>
        <w:rPr>
          <w:rFonts w:ascii="Times New Roman" w:hAnsi="Times New Roman"/>
          <w:sz w:val="24"/>
          <w:szCs w:val="24"/>
        </w:rPr>
      </w:pPr>
      <w:r>
        <w:rPr>
          <w:rFonts w:ascii="Times New Roman" w:hAnsi="Times New Roman"/>
          <w:b w:val="false"/>
          <w:sz w:val="24"/>
          <w:szCs w:val="24"/>
        </w:rPr>
        <w:t>Установить, что в 2020 году не допускается увеличение предельной штатной численности муниципальных служащих городского округа «Вуктыл», иных работников городского округа «Вуктыл» и работников муниципальных казенных учреждений городского округа «Вуктыл» (за исключением реализации мероприятий по обеспечению оптимизации расходов бюджета муниципального образования городского округа «Вуктыл на муниципальное управление путем создания муниципальных казенных учреждений либо увеличения штатной численности работников муниципальных казенных учреждений).</w:t>
      </w:r>
    </w:p>
    <w:p>
      <w:pPr>
        <w:pStyle w:val="Normal"/>
        <w:spacing w:lineRule="auto" w:line="360"/>
        <w:ind w:firstLine="567"/>
        <w:jc w:val="both"/>
        <w:rPr>
          <w:rFonts w:ascii="Times New Roman" w:hAnsi="Times New Roman"/>
          <w:sz w:val="24"/>
          <w:szCs w:val="24"/>
        </w:rPr>
      </w:pPr>
      <w:r>
        <w:rPr>
          <w:rFonts w:ascii="Times New Roman" w:hAnsi="Times New Roman"/>
          <w:b/>
          <w:sz w:val="24"/>
          <w:szCs w:val="24"/>
        </w:rPr>
        <w:t>Статья 19</w:t>
      </w:r>
    </w:p>
    <w:p>
      <w:pPr>
        <w:pStyle w:val="Normal"/>
        <w:overflowPunct w:val="false"/>
        <w:ind w:firstLine="540"/>
        <w:jc w:val="both"/>
        <w:textAlignment w:val="auto"/>
        <w:rPr>
          <w:rFonts w:ascii="Times New Roman" w:hAnsi="Times New Roman"/>
          <w:sz w:val="24"/>
          <w:szCs w:val="24"/>
        </w:rPr>
      </w:pPr>
      <w:r>
        <w:rPr>
          <w:rFonts w:ascii="Times New Roman" w:hAnsi="Times New Roman"/>
          <w:bCs/>
          <w:sz w:val="24"/>
          <w:szCs w:val="24"/>
          <w:lang w:eastAsia="ru-RU"/>
        </w:rPr>
        <w:t>Настоящее Решение вступает в силу со дня его официального опубликования (обнародования), но не ранее 1 января 2020 года.</w:t>
      </w:r>
    </w:p>
    <w:p>
      <w:pPr>
        <w:pStyle w:val="ConsNormal"/>
        <w:widowControl/>
        <w:tabs>
          <w:tab w:val="left" w:pos="900" w:leader="none"/>
        </w:tabs>
        <w:ind w:right="-6" w:firstLine="539"/>
        <w:jc w:val="both"/>
        <w:rPr>
          <w:rFonts w:ascii="Times New Roman" w:hAnsi="Times New Roman"/>
          <w:sz w:val="24"/>
          <w:szCs w:val="24"/>
        </w:rPr>
      </w:pPr>
      <w:r>
        <w:rPr>
          <w:rFonts w:cs="Times New Roman" w:ascii="Times New Roman" w:hAnsi="Times New Roman"/>
          <w:sz w:val="24"/>
          <w:szCs w:val="24"/>
        </w:rPr>
        <w:t>.</w:t>
      </w:r>
    </w:p>
    <w:p>
      <w:pPr>
        <w:pStyle w:val="ConsPlusNormal1"/>
        <w:widowControl/>
        <w:ind w:right="-5" w:hanging="0"/>
        <w:rPr>
          <w:rFonts w:ascii="Times New Roman" w:hAnsi="Times New Roman" w:cs="Times New Roman"/>
          <w:sz w:val="24"/>
          <w:szCs w:val="24"/>
        </w:rPr>
      </w:pPr>
      <w:r>
        <w:rPr>
          <w:rFonts w:cs="Times New Roman" w:ascii="Times New Roman" w:hAnsi="Times New Roman"/>
          <w:sz w:val="24"/>
          <w:szCs w:val="24"/>
        </w:rPr>
      </w:r>
    </w:p>
    <w:p>
      <w:pPr>
        <w:pStyle w:val="ConsPlusNormal1"/>
        <w:ind w:hanging="0"/>
        <w:rPr>
          <w:rFonts w:ascii="Times New Roman" w:hAnsi="Times New Roman"/>
          <w:sz w:val="24"/>
          <w:szCs w:val="24"/>
        </w:rPr>
      </w:pPr>
      <w:r>
        <w:rPr>
          <w:rFonts w:cs="Times New Roman" w:ascii="Times New Roman" w:hAnsi="Times New Roman"/>
          <w:sz w:val="24"/>
          <w:szCs w:val="24"/>
        </w:rPr>
        <w:t>Председатель Совета</w:t>
      </w:r>
    </w:p>
    <w:p>
      <w:pPr>
        <w:pStyle w:val="ConsPlusNormal1"/>
        <w:ind w:hanging="0"/>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городского округа «Вуктыл»                                                                                В.В. Олесик</w:t>
      </w:r>
    </w:p>
    <w:p>
      <w:pPr>
        <w:pStyle w:val="ConsPlusNormal1"/>
        <w:ind w:hanging="0"/>
        <w:rPr>
          <w:rFonts w:ascii="Times New Roman" w:hAnsi="Times New Roman" w:cs="Times New Roman"/>
          <w:sz w:val="24"/>
          <w:szCs w:val="24"/>
        </w:rPr>
      </w:pPr>
      <w:r>
        <w:rPr>
          <w:rFonts w:cs="Times New Roman" w:ascii="Times New Roman" w:hAnsi="Times New Roman"/>
          <w:sz w:val="24"/>
          <w:szCs w:val="24"/>
        </w:rPr>
      </w:r>
    </w:p>
    <w:p>
      <w:pPr>
        <w:pStyle w:val="ConsPlusNormal1"/>
        <w:ind w:hanging="0"/>
        <w:rPr>
          <w:rFonts w:ascii="Times New Roman" w:hAnsi="Times New Roman" w:cs="Times New Roman"/>
          <w:sz w:val="24"/>
          <w:szCs w:val="24"/>
        </w:rPr>
      </w:pPr>
      <w:r>
        <w:rPr>
          <w:rFonts w:cs="Times New Roman" w:ascii="Times New Roman" w:hAnsi="Times New Roman"/>
          <w:sz w:val="24"/>
          <w:szCs w:val="24"/>
        </w:rPr>
      </w:r>
    </w:p>
    <w:p>
      <w:pPr>
        <w:pStyle w:val="Style23"/>
        <w:spacing w:before="0" w:after="0"/>
        <w:ind w:left="0" w:hanging="0"/>
        <w:jc w:val="both"/>
        <w:rPr>
          <w:rFonts w:ascii="Times New Roman" w:hAnsi="Times New Roman"/>
          <w:sz w:val="24"/>
          <w:szCs w:val="24"/>
        </w:rPr>
      </w:pPr>
      <w:r>
        <w:rPr>
          <w:rFonts w:ascii="Times New Roman" w:hAnsi="Times New Roman"/>
          <w:sz w:val="24"/>
          <w:szCs w:val="24"/>
        </w:rPr>
        <w:t xml:space="preserve">Глава </w:t>
      </w:r>
      <w:r>
        <w:rPr>
          <w:rFonts w:ascii="Times New Roman" w:hAnsi="Times New Roman"/>
          <w:bCs/>
          <w:sz w:val="24"/>
          <w:szCs w:val="24"/>
        </w:rPr>
        <w:t>муниципального образования</w:t>
      </w:r>
    </w:p>
    <w:p>
      <w:pPr>
        <w:pStyle w:val="Normal"/>
        <w:rPr>
          <w:rFonts w:ascii="Times New Roman" w:hAnsi="Times New Roman"/>
          <w:sz w:val="24"/>
          <w:szCs w:val="24"/>
        </w:rPr>
      </w:pPr>
      <w:r>
        <w:rPr>
          <w:rFonts w:ascii="Times New Roman" w:hAnsi="Times New Roman"/>
          <w:sz w:val="24"/>
          <w:szCs w:val="24"/>
        </w:rPr>
        <w:t>городского округа «Вуктыл»  - руководитель</w:t>
      </w:r>
    </w:p>
    <w:p>
      <w:pPr>
        <w:pStyle w:val="Normal"/>
        <w:rPr>
          <w:rFonts w:ascii="Times New Roman" w:hAnsi="Times New Roman"/>
          <w:sz w:val="24"/>
          <w:szCs w:val="24"/>
        </w:rPr>
      </w:pPr>
      <w:r>
        <w:rPr>
          <w:rFonts w:ascii="Times New Roman" w:hAnsi="Times New Roman"/>
          <w:sz w:val="24"/>
          <w:szCs w:val="24"/>
        </w:rPr>
        <w:t>администрации городского округа «Вуктыл»                                                     Г.Р. Идрисова</w:t>
      </w:r>
    </w:p>
    <w:sectPr>
      <w:footerReference w:type="default" r:id="rId2"/>
      <w:type w:val="nextPage"/>
      <w:pgSz w:w="11906" w:h="16838"/>
      <w:pgMar w:left="1644" w:right="851" w:header="0" w:top="567" w:footer="221" w:bottom="278"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Calibri">
    <w:charset w:val="cc"/>
    <w:family w:val="roman"/>
    <w:pitch w:val="variable"/>
  </w:font>
  <w:font w:name="Liberation Sans">
    <w:altName w:val="Arial"/>
    <w:charset w:val="cc"/>
    <w:family w:val="roman"/>
    <w:pitch w:val="variable"/>
  </w:font>
  <w:font w:name="Tahoma">
    <w:charset w:val="cc"/>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hanging="0"/>
      <w:rPr/>
    </w:pPr>
    <w:r>
      <w:rPr/>
      <mc:AlternateContent>
        <mc:Choice Requires="wps">
          <w:drawing>
            <wp:anchor behindDoc="1" distT="0" distB="0" distL="0" distR="0" simplePos="0" locked="0" layoutInCell="1" allowOverlap="1" relativeHeight="9">
              <wp:simplePos x="0" y="0"/>
              <wp:positionH relativeFrom="page">
                <wp:posOffset>7019925</wp:posOffset>
              </wp:positionH>
              <wp:positionV relativeFrom="paragraph">
                <wp:posOffset>635</wp:posOffset>
              </wp:positionV>
              <wp:extent cx="59055" cy="141605"/>
              <wp:effectExtent l="0" t="0" r="0" b="0"/>
              <wp:wrapSquare wrapText="largest"/>
              <wp:docPr id="3" name="Text Box 1"/>
              <a:graphic xmlns:a="http://schemas.openxmlformats.org/drawingml/2006/main">
                <a:graphicData uri="http://schemas.microsoft.com/office/word/2010/wordprocessingShape">
                  <wps:wsp>
                    <wps:cNvSpPr/>
                    <wps:spPr>
                      <a:xfrm>
                        <a:off x="0" y="0"/>
                        <a:ext cx="58320" cy="141120"/>
                      </a:xfrm>
                      <a:prstGeom prst="rect">
                        <a:avLst/>
                      </a:prstGeom>
                      <a:solidFill>
                        <a:srgbClr val="ffffff"/>
                      </a:solidFill>
                      <a:ln>
                        <a:noFill/>
                      </a:ln>
                    </wps:spPr>
                    <wps:style>
                      <a:lnRef idx="0"/>
                      <a:fillRef idx="0"/>
                      <a:effectRef idx="0"/>
                      <a:fontRef idx="minor"/>
                    </wps:style>
                    <wps:txbx>
                      <w:txbxContent>
                        <w:p>
                          <w:pPr>
                            <w:pStyle w:val="Style22"/>
                            <w:rPr/>
                          </w:pPr>
                          <w:r>
                            <w:rPr>
                              <w:rStyle w:val="Pagenumber"/>
                              <w:color w:val="auto"/>
                            </w:rPr>
                            <w:fldChar w:fldCharType="begin"/>
                          </w:r>
                          <w:r>
                            <w:rPr>
                              <w:rStyle w:val="Pagenumber"/>
                            </w:rPr>
                            <w:instrText> PAGE </w:instrText>
                          </w:r>
                          <w:r>
                            <w:rPr>
                              <w:rStyle w:val="Pagenumber"/>
                            </w:rPr>
                            <w:fldChar w:fldCharType="separate"/>
                          </w:r>
                          <w:r>
                            <w:rPr>
                              <w:rStyle w:val="Pagenumber"/>
                            </w:rPr>
                            <w:t>8</w:t>
                          </w:r>
                          <w:r>
                            <w:rPr>
                              <w:rStyle w:val="Pagenumber"/>
                            </w:rPr>
                            <w:fldChar w:fldCharType="end"/>
                          </w:r>
                        </w:p>
                      </w:txbxContent>
                    </wps:txbx>
                    <wps:bodyPr lIns="5040" rIns="5040" tIns="5040" bIns="5040">
                      <a:noAutofit/>
                    </wps:bodyPr>
                  </wps:wsp>
                </a:graphicData>
              </a:graphic>
            </wp:anchor>
          </w:drawing>
        </mc:Choice>
        <mc:Fallback>
          <w:pict>
            <v:rect id="shape_0" ID="Text Box 1" fillcolor="white" stroked="f" style="position:absolute;margin-left:552.75pt;margin-top:0.05pt;width:4.55pt;height:11.05pt;mso-position-horizontal-relative:page">
              <w10:wrap type="square"/>
              <v:fill o:detectmouseclick="t" type="solid" color2="black"/>
              <v:stroke color="#3465a4" joinstyle="round" endcap="flat"/>
              <v:textbox>
                <w:txbxContent>
                  <w:p>
                    <w:pPr>
                      <w:pStyle w:val="Style22"/>
                      <w:rPr/>
                    </w:pPr>
                    <w:r>
                      <w:rPr>
                        <w:rStyle w:val="Pagenumber"/>
                        <w:color w:val="auto"/>
                      </w:rPr>
                      <w:fldChar w:fldCharType="begin"/>
                    </w:r>
                    <w:r>
                      <w:rPr>
                        <w:rStyle w:val="Pagenumber"/>
                      </w:rPr>
                      <w:instrText> PAGE </w:instrText>
                    </w:r>
                    <w:r>
                      <w:rPr>
                        <w:rStyle w:val="Pagenumber"/>
                      </w:rPr>
                      <w:fldChar w:fldCharType="separate"/>
                    </w:r>
                    <w:r>
                      <w:rPr>
                        <w:rStyle w:val="Pagenumber"/>
                      </w:rPr>
                      <w:t>8</w:t>
                    </w:r>
                    <w:r>
                      <w:rPr>
                        <w:rStyle w:val="Pagenumber"/>
                      </w:rPr>
                      <w:fldChar w:fldCharType="end"/>
                    </w:r>
                  </w:p>
                </w:txbxContent>
              </v:textbox>
            </v:rect>
          </w:pict>
        </mc:Fallback>
      </mc:AlternateContent>
    </w:r>
  </w:p>
</w:ftr>
</file>

<file path=word/settings.xml><?xml version="1.0" encoding="utf-8"?>
<w:settings xmlns:w="http://schemas.openxmlformats.org/wordprocessingml/2006/main">
  <w:zoom w:percent="80"/>
  <w:displayBackgroundShape/>
  <w:embedSystemFonts/>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overflowPunct w:val="true"/>
      <w:bidi w:val="0"/>
      <w:jc w:val="left"/>
      <w:textAlignment w:val="baseline"/>
    </w:pPr>
    <w:rPr>
      <w:rFonts w:ascii="Times New Roman" w:hAnsi="Times New Roman" w:eastAsia="Times New Roman" w:cs="Times New Roman"/>
      <w:color w:val="auto"/>
      <w:kern w:val="0"/>
      <w:sz w:val="20"/>
      <w:szCs w:val="20"/>
      <w:lang w:eastAsia="zh-CN" w:val="ru-RU" w:bidi="ar-SA"/>
    </w:rPr>
  </w:style>
  <w:style w:type="paragraph" w:styleId="1">
    <w:name w:val="Heading 1"/>
    <w:basedOn w:val="Normal"/>
    <w:qFormat/>
    <w:pPr>
      <w:keepNext w:val="true"/>
      <w:spacing w:before="240" w:after="60"/>
      <w:outlineLvl w:val="0"/>
    </w:pPr>
    <w:rPr>
      <w:rFonts w:ascii="Cambria" w:hAnsi="Cambria"/>
      <w:b/>
      <w:bCs/>
      <w:kern w:val="2"/>
      <w:sz w:val="32"/>
      <w:szCs w:val="32"/>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6" w:customStyle="1">
    <w:name w:val="Основной шрифт абзаца6"/>
    <w:qFormat/>
    <w:rPr/>
  </w:style>
  <w:style w:type="character" w:styleId="WW8Num2z0" w:customStyle="1">
    <w:name w:val="WW8Num2z0"/>
    <w:qFormat/>
    <w:rPr>
      <w:sz w:val="24"/>
      <w:szCs w:val="24"/>
    </w:rPr>
  </w:style>
  <w:style w:type="character" w:styleId="5" w:customStyle="1">
    <w:name w:val="Основной шрифт абзаца5"/>
    <w:qFormat/>
    <w:rPr/>
  </w:style>
  <w:style w:type="character" w:styleId="4" w:customStyle="1">
    <w:name w:val="Основной шрифт абзаца4"/>
    <w:qFormat/>
    <w:rPr/>
  </w:style>
  <w:style w:type="character" w:styleId="3" w:customStyle="1">
    <w:name w:val="Основной шрифт абзаца3"/>
    <w:qFormat/>
    <w:rPr/>
  </w:style>
  <w:style w:type="character" w:styleId="2" w:customStyle="1">
    <w:name w:val="Основной шрифт абзаца2"/>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sz w:val="24"/>
      <w:szCs w:val="24"/>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7z0" w:customStyle="1">
    <w:name w:val="WW8Num7z0"/>
    <w:qFormat/>
    <w:rPr>
      <w:rFonts w:ascii="Times New Roman" w:hAnsi="Times New Roman" w:cs="Times New Roman"/>
      <w:b/>
      <w:sz w:val="28"/>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8z0" w:customStyle="1">
    <w:name w:val="WW8Num8z0"/>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St6z0" w:customStyle="1">
    <w:name w:val="WW8NumSt6z0"/>
    <w:qFormat/>
    <w:rPr>
      <w:rFonts w:ascii="Times New Roman" w:hAnsi="Times New Roman" w:cs="Times New Roman"/>
      <w:b/>
      <w:color w:val="auto"/>
      <w:sz w:val="24"/>
      <w:szCs w:val="24"/>
    </w:rPr>
  </w:style>
  <w:style w:type="character" w:styleId="WW8NumSt7z0" w:customStyle="1">
    <w:name w:val="WW8NumSt7z0"/>
    <w:qFormat/>
    <w:rPr>
      <w:rFonts w:ascii="Times New Roman" w:hAnsi="Times New Roman" w:cs="Times New Roman"/>
      <w:b/>
      <w:color w:val="auto"/>
      <w:sz w:val="24"/>
      <w:szCs w:val="24"/>
    </w:rPr>
  </w:style>
  <w:style w:type="character" w:styleId="11" w:customStyle="1">
    <w:name w:val="Основной шрифт абзаца1"/>
    <w:qFormat/>
    <w:rPr/>
  </w:style>
  <w:style w:type="character" w:styleId="Pagenumber">
    <w:name w:val="page number"/>
    <w:basedOn w:val="11"/>
    <w:qFormat/>
    <w:rPr/>
  </w:style>
  <w:style w:type="character" w:styleId="ConsPlusNormal" w:customStyle="1">
    <w:name w:val="ConsPlusNormal Знак"/>
    <w:qFormat/>
    <w:rPr>
      <w:rFonts w:ascii="Arial" w:hAnsi="Arial" w:cs="Arial"/>
    </w:rPr>
  </w:style>
  <w:style w:type="character" w:styleId="Style13" w:customStyle="1">
    <w:name w:val="Для статей закона о бюджете Знак"/>
    <w:qFormat/>
    <w:rPr>
      <w:b/>
      <w:sz w:val="28"/>
      <w:szCs w:val="28"/>
    </w:rPr>
  </w:style>
  <w:style w:type="character" w:styleId="12" w:customStyle="1">
    <w:name w:val="Заголовок 1 Знак"/>
    <w:qFormat/>
    <w:rPr>
      <w:rFonts w:ascii="Cambria" w:hAnsi="Cambria" w:eastAsia="Times New Roman" w:cs="Times New Roman"/>
      <w:b/>
      <w:bCs/>
      <w:kern w:val="2"/>
      <w:sz w:val="32"/>
      <w:szCs w:val="32"/>
    </w:rPr>
  </w:style>
  <w:style w:type="character" w:styleId="31" w:customStyle="1">
    <w:name w:val="Основной текст с отступом 3 Знак"/>
    <w:qFormat/>
    <w:rPr>
      <w:sz w:val="16"/>
      <w:szCs w:val="16"/>
    </w:rPr>
  </w:style>
  <w:style w:type="character" w:styleId="Style14" w:customStyle="1">
    <w:name w:val="Текст сноски Знак"/>
    <w:qFormat/>
    <w:rPr>
      <w:rFonts w:ascii="Calibri" w:hAnsi="Calibri" w:eastAsia="Calibri" w:cs="Calibri"/>
    </w:rPr>
  </w:style>
  <w:style w:type="character" w:styleId="Style15" w:customStyle="1">
    <w:name w:val="Символ сноски"/>
    <w:qFormat/>
    <w:rPr>
      <w:vertAlign w:val="superscript"/>
    </w:rPr>
  </w:style>
  <w:style w:type="character" w:styleId="13" w:customStyle="1">
    <w:name w:val="Знак сноски1"/>
    <w:qFormat/>
    <w:rPr>
      <w:vertAlign w:val="superscript"/>
    </w:rPr>
  </w:style>
  <w:style w:type="character" w:styleId="Style16" w:customStyle="1">
    <w:name w:val="Символы концевой сноски"/>
    <w:qFormat/>
    <w:rPr>
      <w:vertAlign w:val="superscript"/>
    </w:rPr>
  </w:style>
  <w:style w:type="character" w:styleId="WW" w:customStyle="1">
    <w:name w:val="WW-Символы концевой сноски"/>
    <w:qFormat/>
    <w:rPr/>
  </w:style>
  <w:style w:type="character" w:styleId="14" w:customStyle="1">
    <w:name w:val="Знак концевой сноски1"/>
    <w:qFormat/>
    <w:rPr>
      <w:vertAlign w:val="superscript"/>
    </w:rPr>
  </w:style>
  <w:style w:type="character" w:styleId="21" w:customStyle="1">
    <w:name w:val="Знак сноски2"/>
    <w:qFormat/>
    <w:rPr>
      <w:vertAlign w:val="superscript"/>
    </w:rPr>
  </w:style>
  <w:style w:type="character" w:styleId="22" w:customStyle="1">
    <w:name w:val="Знак концевой сноски2"/>
    <w:qFormat/>
    <w:rPr>
      <w:vertAlign w:val="superscript"/>
    </w:rPr>
  </w:style>
  <w:style w:type="paragraph" w:styleId="Style17" w:customStyle="1">
    <w:name w:val="Заголовок"/>
    <w:basedOn w:val="Normal"/>
    <w:next w:val="Style18"/>
    <w:qFormat/>
    <w:pPr>
      <w:keepNext w:val="true"/>
      <w:spacing w:before="240" w:after="120"/>
    </w:pPr>
    <w:rPr>
      <w:rFonts w:ascii="Liberation Sans" w:hAnsi="Liberation Sans" w:eastAsia="Microsoft YaHei" w:cs="Mangal"/>
      <w:sz w:val="28"/>
      <w:szCs w:val="28"/>
    </w:rPr>
  </w:style>
  <w:style w:type="paragraph" w:styleId="Style18">
    <w:name w:val="Body Text"/>
    <w:basedOn w:val="Normal"/>
    <w:pPr>
      <w:ind w:right="-5" w:hanging="0"/>
      <w:jc w:val="both"/>
    </w:pPr>
    <w:rPr/>
  </w:style>
  <w:style w:type="paragraph" w:styleId="Style19">
    <w:name w:val="List"/>
    <w:basedOn w:val="Style18"/>
    <w:pPr/>
    <w:rPr>
      <w:rFonts w:cs="Mangal"/>
    </w:rPr>
  </w:style>
  <w:style w:type="paragraph" w:styleId="Style20">
    <w:name w:val="Caption"/>
    <w:basedOn w:val="Normal"/>
    <w:qFormat/>
    <w:pPr>
      <w:suppressLineNumbers/>
      <w:spacing w:before="120" w:after="120"/>
    </w:pPr>
    <w:rPr>
      <w:rFonts w:cs="Mangal"/>
      <w:i/>
      <w:iCs/>
      <w:sz w:val="24"/>
      <w:szCs w:val="24"/>
    </w:rPr>
  </w:style>
  <w:style w:type="paragraph" w:styleId="Style21">
    <w:name w:val="Указатель"/>
    <w:basedOn w:val="Normal"/>
    <w:qFormat/>
    <w:pPr>
      <w:suppressLineNumbers/>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61" w:customStyle="1">
    <w:name w:val="Указатель6"/>
    <w:basedOn w:val="Normal"/>
    <w:qFormat/>
    <w:pPr>
      <w:suppressLineNumbers/>
    </w:pPr>
    <w:rPr>
      <w:rFonts w:cs="Mangal"/>
    </w:rPr>
  </w:style>
  <w:style w:type="paragraph" w:styleId="51" w:customStyle="1">
    <w:name w:val="Название объекта5"/>
    <w:basedOn w:val="Normal"/>
    <w:qFormat/>
    <w:pPr>
      <w:suppressLineNumbers/>
      <w:spacing w:before="120" w:after="120"/>
    </w:pPr>
    <w:rPr>
      <w:rFonts w:cs="Mangal"/>
      <w:i/>
      <w:iCs/>
      <w:sz w:val="24"/>
      <w:szCs w:val="24"/>
    </w:rPr>
  </w:style>
  <w:style w:type="paragraph" w:styleId="52" w:customStyle="1">
    <w:name w:val="Указатель5"/>
    <w:basedOn w:val="Normal"/>
    <w:qFormat/>
    <w:pPr>
      <w:suppressLineNumbers/>
    </w:pPr>
    <w:rPr>
      <w:rFonts w:cs="Mangal"/>
    </w:rPr>
  </w:style>
  <w:style w:type="paragraph" w:styleId="41" w:customStyle="1">
    <w:name w:val="Название объекта4"/>
    <w:basedOn w:val="Normal"/>
    <w:qFormat/>
    <w:pPr>
      <w:suppressLineNumbers/>
      <w:spacing w:before="120" w:after="120"/>
    </w:pPr>
    <w:rPr>
      <w:rFonts w:cs="Mangal"/>
      <w:i/>
      <w:iCs/>
      <w:sz w:val="24"/>
      <w:szCs w:val="24"/>
    </w:rPr>
  </w:style>
  <w:style w:type="paragraph" w:styleId="42" w:customStyle="1">
    <w:name w:val="Указатель4"/>
    <w:basedOn w:val="Normal"/>
    <w:qFormat/>
    <w:pPr>
      <w:suppressLineNumbers/>
    </w:pPr>
    <w:rPr>
      <w:rFonts w:cs="Mangal"/>
    </w:rPr>
  </w:style>
  <w:style w:type="paragraph" w:styleId="32" w:customStyle="1">
    <w:name w:val="Название объекта3"/>
    <w:basedOn w:val="Normal"/>
    <w:qFormat/>
    <w:pPr>
      <w:suppressLineNumbers/>
      <w:spacing w:before="120" w:after="120"/>
    </w:pPr>
    <w:rPr>
      <w:rFonts w:cs="Mangal"/>
      <w:i/>
      <w:iCs/>
      <w:sz w:val="24"/>
      <w:szCs w:val="24"/>
    </w:rPr>
  </w:style>
  <w:style w:type="paragraph" w:styleId="33" w:customStyle="1">
    <w:name w:val="Указатель3"/>
    <w:basedOn w:val="Normal"/>
    <w:qFormat/>
    <w:pPr>
      <w:suppressLineNumbers/>
    </w:pPr>
    <w:rPr>
      <w:rFonts w:cs="Mangal"/>
    </w:rPr>
  </w:style>
  <w:style w:type="paragraph" w:styleId="23" w:customStyle="1">
    <w:name w:val="Название объекта2"/>
    <w:basedOn w:val="Normal"/>
    <w:qFormat/>
    <w:pPr>
      <w:suppressLineNumbers/>
      <w:spacing w:before="120" w:after="120"/>
    </w:pPr>
    <w:rPr>
      <w:rFonts w:cs="Mangal"/>
      <w:i/>
      <w:iCs/>
      <w:sz w:val="24"/>
      <w:szCs w:val="24"/>
    </w:rPr>
  </w:style>
  <w:style w:type="paragraph" w:styleId="24" w:customStyle="1">
    <w:name w:val="Указатель2"/>
    <w:basedOn w:val="Normal"/>
    <w:qFormat/>
    <w:pPr>
      <w:suppressLineNumbers/>
    </w:pPr>
    <w:rPr>
      <w:rFonts w:cs="Mangal"/>
    </w:rPr>
  </w:style>
  <w:style w:type="paragraph" w:styleId="15" w:customStyle="1">
    <w:name w:val="Название объекта1"/>
    <w:basedOn w:val="Normal"/>
    <w:qFormat/>
    <w:pPr>
      <w:suppressLineNumbers/>
      <w:spacing w:before="120" w:after="120"/>
    </w:pPr>
    <w:rPr>
      <w:rFonts w:cs="Mangal"/>
      <w:i/>
      <w:iCs/>
      <w:sz w:val="24"/>
      <w:szCs w:val="24"/>
    </w:rPr>
  </w:style>
  <w:style w:type="paragraph" w:styleId="16" w:customStyle="1">
    <w:name w:val="Указатель1"/>
    <w:basedOn w:val="Normal"/>
    <w:qFormat/>
    <w:pPr>
      <w:suppressLineNumbers/>
    </w:pPr>
    <w:rPr>
      <w:rFonts w:cs="Mangal"/>
    </w:rPr>
  </w:style>
  <w:style w:type="paragraph" w:styleId="ConsPlusNormal1" w:customStyle="1">
    <w:name w:val="ConsPlusNormal"/>
    <w:qFormat/>
    <w:pPr>
      <w:widowControl w:val="false"/>
      <w:suppressAutoHyphens w:val="true"/>
      <w:bidi w:val="0"/>
      <w:ind w:firstLine="720"/>
      <w:jc w:val="left"/>
    </w:pPr>
    <w:rPr>
      <w:rFonts w:ascii="Arial" w:hAnsi="Arial" w:cs="Arial" w:eastAsia="Times New Roman"/>
      <w:color w:val="auto"/>
      <w:kern w:val="0"/>
      <w:sz w:val="20"/>
      <w:szCs w:val="20"/>
      <w:lang w:eastAsia="zh-CN" w:val="ru-RU" w:bidi="ar-SA"/>
    </w:rPr>
  </w:style>
  <w:style w:type="paragraph" w:styleId="ConsPlusTitle" w:customStyle="1">
    <w:name w:val="ConsPlusTitle"/>
    <w:qFormat/>
    <w:pPr>
      <w:widowControl w:val="false"/>
      <w:suppressAutoHyphens w:val="true"/>
      <w:bidi w:val="0"/>
      <w:jc w:val="left"/>
    </w:pPr>
    <w:rPr>
      <w:rFonts w:ascii="Arial" w:hAnsi="Arial" w:cs="Arial" w:eastAsia="Times New Roman"/>
      <w:b/>
      <w:bCs/>
      <w:color w:val="auto"/>
      <w:kern w:val="0"/>
      <w:sz w:val="20"/>
      <w:szCs w:val="20"/>
      <w:lang w:eastAsia="zh-CN" w:val="ru-RU" w:bidi="ar-SA"/>
    </w:rPr>
  </w:style>
  <w:style w:type="paragraph" w:styleId="Style22">
    <w:name w:val="Footer"/>
    <w:basedOn w:val="Normal"/>
    <w:pPr>
      <w:tabs>
        <w:tab w:val="center" w:pos="4677" w:leader="none"/>
        <w:tab w:val="right" w:pos="9355" w:leader="none"/>
      </w:tabs>
    </w:pPr>
    <w:rPr/>
  </w:style>
  <w:style w:type="paragraph" w:styleId="Style23">
    <w:name w:val="Body Text Indent"/>
    <w:basedOn w:val="Normal"/>
    <w:pPr>
      <w:spacing w:before="0" w:after="120"/>
      <w:ind w:left="283" w:hanging="0"/>
    </w:pPr>
    <w:rPr/>
  </w:style>
  <w:style w:type="paragraph" w:styleId="ConsNormal" w:customStyle="1">
    <w:name w:val="ConsNormal"/>
    <w:qFormat/>
    <w:pPr>
      <w:widowControl w:val="false"/>
      <w:suppressAutoHyphens w:val="true"/>
      <w:bidi w:val="0"/>
      <w:ind w:firstLine="720"/>
      <w:jc w:val="left"/>
    </w:pPr>
    <w:rPr>
      <w:rFonts w:ascii="Arial" w:hAnsi="Arial" w:cs="Arial" w:eastAsia="Times New Roman"/>
      <w:color w:val="auto"/>
      <w:kern w:val="0"/>
      <w:sz w:val="20"/>
      <w:szCs w:val="20"/>
      <w:lang w:eastAsia="zh-CN" w:val="ru-RU" w:bidi="ar-SA"/>
    </w:rPr>
  </w:style>
  <w:style w:type="paragraph" w:styleId="BalloonText">
    <w:name w:val="Balloon Text"/>
    <w:basedOn w:val="Normal"/>
    <w:qFormat/>
    <w:pPr/>
    <w:rPr>
      <w:rFonts w:ascii="Tahoma" w:hAnsi="Tahoma" w:cs="Tahoma"/>
      <w:sz w:val="16"/>
      <w:szCs w:val="16"/>
    </w:rPr>
  </w:style>
  <w:style w:type="paragraph" w:styleId="Style24" w:customStyle="1">
    <w:name w:val="конт"/>
    <w:qFormat/>
    <w:pPr>
      <w:widowControl/>
      <w:suppressAutoHyphens w:val="true"/>
      <w:bidi w:val="0"/>
      <w:jc w:val="left"/>
    </w:pPr>
    <w:rPr>
      <w:rFonts w:ascii="Times New Roman" w:hAnsi="Times New Roman" w:eastAsia="Times New Roman" w:cs="Times New Roman"/>
      <w:color w:val="auto"/>
      <w:kern w:val="0"/>
      <w:sz w:val="20"/>
      <w:szCs w:val="20"/>
      <w:lang w:eastAsia="zh-CN" w:val="ru-RU" w:bidi="ar-SA"/>
    </w:rPr>
  </w:style>
  <w:style w:type="paragraph" w:styleId="Style25" w:customStyle="1">
    <w:name w:val="Для статей закона о бюджете"/>
    <w:basedOn w:val="1"/>
    <w:qFormat/>
    <w:pPr>
      <w:overflowPunct w:val="false"/>
      <w:spacing w:lineRule="auto" w:line="360" w:before="0" w:after="0"/>
      <w:ind w:firstLine="851"/>
      <w:jc w:val="both"/>
      <w:textAlignment w:val="auto"/>
    </w:pPr>
    <w:rPr>
      <w:rFonts w:ascii="Times New Roman" w:hAnsi="Times New Roman"/>
      <w:bCs w:val="false"/>
      <w:sz w:val="28"/>
      <w:szCs w:val="28"/>
    </w:rPr>
  </w:style>
  <w:style w:type="paragraph" w:styleId="311" w:customStyle="1">
    <w:name w:val="Основной текст с отступом 31"/>
    <w:basedOn w:val="Normal"/>
    <w:qFormat/>
    <w:pPr>
      <w:overflowPunct w:val="false"/>
      <w:spacing w:before="0" w:after="120"/>
      <w:ind w:left="283" w:hanging="0"/>
      <w:textAlignment w:val="auto"/>
    </w:pPr>
    <w:rPr>
      <w:sz w:val="16"/>
      <w:szCs w:val="16"/>
    </w:rPr>
  </w:style>
  <w:style w:type="paragraph" w:styleId="Style26">
    <w:name w:val="Footnote Text"/>
    <w:basedOn w:val="Normal"/>
    <w:pPr>
      <w:overflowPunct w:val="false"/>
      <w:textAlignment w:val="auto"/>
    </w:pPr>
    <w:rPr>
      <w:rFonts w:ascii="Calibri" w:hAnsi="Calibri" w:eastAsia="Calibri"/>
    </w:rPr>
  </w:style>
  <w:style w:type="paragraph" w:styleId="Style27" w:customStyle="1">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LibreOffice/6.0.4.2$Windows_X86_64 LibreOffice_project/9b0d9b32d5dcda91d2f1a96dc04c645c450872bf</Application>
  <Pages>8</Pages>
  <Words>2168</Words>
  <Characters>15010</Characters>
  <CharactersWithSpaces>17592</CharactersWithSpaces>
  <Paragraphs>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2019-11-15T11:07:00Z</dcterms:created>
  <dc:creator>User</dc:creator>
  <dc:description/>
  <dc:language>ru-RU</dc:language>
  <cp:lastModifiedBy/>
  <cp:lastPrinted>2019-11-15T06:21:00Z</cp:lastPrinted>
  <dcterms:modified xsi:type="dcterms:W3CDTF">2019-11-17T11:58:44Z</dcterms:modified>
  <cp:revision>3</cp:revision>
  <dc:subject/>
  <dc:title>СОГЛАСОВАНО</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